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77E21" w14:textId="77777777" w:rsidR="00C9345B" w:rsidRDefault="00C9345B" w:rsidP="00C9345B">
      <w:pPr>
        <w:spacing w:line="480" w:lineRule="auto"/>
        <w:jc w:val="center"/>
        <w:rPr>
          <w:rFonts w:ascii="Times New Roman" w:hAnsi="Times New Roman"/>
        </w:rPr>
      </w:pPr>
    </w:p>
    <w:p w14:paraId="37CEB438" w14:textId="77777777" w:rsidR="0041174B" w:rsidRDefault="0041174B" w:rsidP="0041174B">
      <w:pPr>
        <w:spacing w:line="480" w:lineRule="auto"/>
        <w:rPr>
          <w:rFonts w:ascii="Times New Roman" w:hAnsi="Times New Roman"/>
        </w:rPr>
      </w:pPr>
    </w:p>
    <w:p w14:paraId="0FE4A87B" w14:textId="77777777" w:rsidR="00DE32EA" w:rsidRDefault="00DE32EA" w:rsidP="00DE32EA">
      <w:pPr>
        <w:spacing w:line="480" w:lineRule="auto"/>
        <w:ind w:left="2160" w:firstLine="720"/>
        <w:rPr>
          <w:rFonts w:ascii="Times New Roman" w:hAnsi="Times New Roman"/>
        </w:rPr>
      </w:pPr>
    </w:p>
    <w:p w14:paraId="52202BE2" w14:textId="77777777" w:rsidR="00DE32EA" w:rsidRDefault="00DE32EA" w:rsidP="00DE32EA">
      <w:pPr>
        <w:spacing w:line="480" w:lineRule="auto"/>
        <w:ind w:left="2160" w:firstLine="720"/>
        <w:rPr>
          <w:rFonts w:ascii="Times New Roman" w:hAnsi="Times New Roman"/>
        </w:rPr>
      </w:pPr>
    </w:p>
    <w:p w14:paraId="37405598" w14:textId="77777777" w:rsidR="00DE32EA" w:rsidRDefault="00DE32EA" w:rsidP="00DE32EA">
      <w:pPr>
        <w:spacing w:line="480" w:lineRule="auto"/>
        <w:ind w:left="2160" w:firstLine="720"/>
        <w:rPr>
          <w:rFonts w:ascii="Times New Roman" w:hAnsi="Times New Roman"/>
        </w:rPr>
      </w:pPr>
    </w:p>
    <w:p w14:paraId="3A206F8D" w14:textId="77777777" w:rsidR="00DE32EA" w:rsidRDefault="00DE32EA" w:rsidP="00DE32EA">
      <w:pPr>
        <w:spacing w:line="480" w:lineRule="auto"/>
        <w:ind w:left="2160" w:firstLine="720"/>
        <w:rPr>
          <w:rFonts w:ascii="Times New Roman" w:hAnsi="Times New Roman"/>
        </w:rPr>
      </w:pPr>
    </w:p>
    <w:p w14:paraId="09644B11" w14:textId="3A83CC86" w:rsidR="0035053D" w:rsidRPr="006453E6" w:rsidRDefault="00BB01B3" w:rsidP="00C05C0E">
      <w:pPr>
        <w:spacing w:line="480" w:lineRule="auto"/>
        <w:ind w:left="3600"/>
        <w:rPr>
          <w:rFonts w:ascii="Times New Roman" w:hAnsi="Times New Roman"/>
        </w:rPr>
      </w:pPr>
      <w:r>
        <w:rPr>
          <w:rFonts w:ascii="Times New Roman" w:hAnsi="Times New Roman"/>
        </w:rPr>
        <w:t xml:space="preserve">  </w:t>
      </w:r>
      <w:r w:rsidR="00AA3A09">
        <w:rPr>
          <w:rFonts w:ascii="Times New Roman" w:hAnsi="Times New Roman"/>
        </w:rPr>
        <w:t>Literature Review</w:t>
      </w:r>
      <w:r w:rsidR="00C05C0E">
        <w:rPr>
          <w:rFonts w:ascii="Times New Roman" w:hAnsi="Times New Roman"/>
        </w:rPr>
        <w:tab/>
      </w:r>
    </w:p>
    <w:p w14:paraId="67A092A8" w14:textId="77777777" w:rsidR="00C9345B" w:rsidRPr="006453E6" w:rsidRDefault="00B10D41" w:rsidP="00C9345B">
      <w:pPr>
        <w:spacing w:line="480" w:lineRule="auto"/>
        <w:jc w:val="center"/>
        <w:rPr>
          <w:rFonts w:ascii="Times New Roman" w:hAnsi="Times New Roman"/>
        </w:rPr>
      </w:pPr>
      <w:r w:rsidRPr="006453E6">
        <w:rPr>
          <w:rFonts w:ascii="Times New Roman" w:hAnsi="Times New Roman"/>
        </w:rPr>
        <w:t>Rebekah Lee</w:t>
      </w:r>
    </w:p>
    <w:p w14:paraId="16271BD0" w14:textId="77777777" w:rsidR="00B10D41" w:rsidRPr="006453E6" w:rsidRDefault="00B10D41" w:rsidP="00B10D41">
      <w:pPr>
        <w:spacing w:line="480" w:lineRule="auto"/>
        <w:jc w:val="center"/>
        <w:rPr>
          <w:rFonts w:ascii="Times New Roman" w:hAnsi="Times New Roman"/>
        </w:rPr>
      </w:pPr>
      <w:r w:rsidRPr="006453E6">
        <w:rPr>
          <w:rFonts w:ascii="Times New Roman" w:hAnsi="Times New Roman"/>
        </w:rPr>
        <w:t>Clinical Mental Health Counseling, Grand Canyon University</w:t>
      </w:r>
    </w:p>
    <w:p w14:paraId="7562B9CD" w14:textId="77777777" w:rsidR="00B10D41" w:rsidRPr="004E4C9B" w:rsidRDefault="00B10D41" w:rsidP="00B10D41">
      <w:pPr>
        <w:spacing w:line="480" w:lineRule="auto"/>
        <w:jc w:val="center"/>
        <w:rPr>
          <w:rFonts w:ascii="Times New Roman" w:hAnsi="Times New Roman"/>
        </w:rPr>
      </w:pPr>
      <w:r w:rsidRPr="004E4C9B">
        <w:rPr>
          <w:rFonts w:ascii="Times New Roman" w:hAnsi="Times New Roman"/>
        </w:rPr>
        <w:t xml:space="preserve">CNL: </w:t>
      </w:r>
      <w:r w:rsidR="006D074D" w:rsidRPr="004E4C9B">
        <w:rPr>
          <w:rFonts w:ascii="Times New Roman" w:hAnsi="Times New Roman"/>
        </w:rPr>
        <w:t>5</w:t>
      </w:r>
      <w:r w:rsidR="00E06FBE">
        <w:rPr>
          <w:rFonts w:ascii="Times New Roman" w:hAnsi="Times New Roman"/>
        </w:rPr>
        <w:t>40</w:t>
      </w:r>
    </w:p>
    <w:p w14:paraId="677ED300" w14:textId="77777777" w:rsidR="00B10D41" w:rsidRPr="004E4C9B" w:rsidRDefault="00B10D41" w:rsidP="00B10D41">
      <w:pPr>
        <w:spacing w:line="480" w:lineRule="auto"/>
        <w:jc w:val="center"/>
        <w:rPr>
          <w:rFonts w:ascii="Times New Roman" w:hAnsi="Times New Roman"/>
        </w:rPr>
      </w:pPr>
      <w:r w:rsidRPr="004E4C9B">
        <w:rPr>
          <w:rFonts w:ascii="Times New Roman" w:hAnsi="Times New Roman"/>
        </w:rPr>
        <w:t>Dr</w:t>
      </w:r>
      <w:r w:rsidR="00CD43BF">
        <w:rPr>
          <w:rFonts w:ascii="Times New Roman" w:hAnsi="Times New Roman"/>
        </w:rPr>
        <w:t>.</w:t>
      </w:r>
      <w:r w:rsidRPr="004E4C9B">
        <w:rPr>
          <w:rFonts w:ascii="Times New Roman" w:hAnsi="Times New Roman"/>
        </w:rPr>
        <w:t xml:space="preserve"> </w:t>
      </w:r>
      <w:r w:rsidR="001B1E3C" w:rsidRPr="004E4C9B">
        <w:rPr>
          <w:rFonts w:ascii="Times New Roman" w:hAnsi="Times New Roman"/>
        </w:rPr>
        <w:t>A</w:t>
      </w:r>
      <w:r w:rsidR="00B7384F">
        <w:rPr>
          <w:rFonts w:ascii="Times New Roman" w:hAnsi="Times New Roman"/>
        </w:rPr>
        <w:t>udra</w:t>
      </w:r>
      <w:r w:rsidR="001B1E3C" w:rsidRPr="004E4C9B">
        <w:rPr>
          <w:rFonts w:ascii="Times New Roman" w:hAnsi="Times New Roman"/>
        </w:rPr>
        <w:t xml:space="preserve"> </w:t>
      </w:r>
      <w:r w:rsidR="005C4330">
        <w:rPr>
          <w:rFonts w:ascii="Times New Roman" w:hAnsi="Times New Roman"/>
        </w:rPr>
        <w:t>Tousaint</w:t>
      </w:r>
    </w:p>
    <w:p w14:paraId="077185A3" w14:textId="69ECD210" w:rsidR="00B10D41" w:rsidRPr="004E4C9B" w:rsidRDefault="00E06FBE" w:rsidP="00B10D41">
      <w:pPr>
        <w:spacing w:line="480" w:lineRule="auto"/>
        <w:jc w:val="center"/>
        <w:rPr>
          <w:rFonts w:ascii="Times New Roman" w:hAnsi="Times New Roman"/>
        </w:rPr>
        <w:sectPr w:rsidR="00B10D41" w:rsidRPr="004E4C9B" w:rsidSect="00DD58D2">
          <w:headerReference w:type="even" r:id="rId13"/>
          <w:headerReference w:type="default" r:id="rId14"/>
          <w:headerReference w:type="first" r:id="rId15"/>
          <w:pgSz w:w="12240" w:h="15840" w:code="1"/>
          <w:pgMar w:top="1440" w:right="1440" w:bottom="1440" w:left="1440" w:header="720" w:footer="720" w:gutter="0"/>
          <w:pgNumType w:start="1"/>
          <w:cols w:space="720"/>
          <w:docGrid w:linePitch="326"/>
        </w:sectPr>
      </w:pPr>
      <w:r>
        <w:rPr>
          <w:rFonts w:ascii="Times New Roman" w:hAnsi="Times New Roman"/>
        </w:rPr>
        <w:t xml:space="preserve">July </w:t>
      </w:r>
      <w:r w:rsidR="00C05C0E">
        <w:rPr>
          <w:rFonts w:ascii="Times New Roman" w:hAnsi="Times New Roman"/>
        </w:rPr>
        <w:t>30</w:t>
      </w:r>
      <w:r>
        <w:rPr>
          <w:rFonts w:ascii="Times New Roman" w:hAnsi="Times New Roman"/>
        </w:rPr>
        <w:t>, 2025</w:t>
      </w:r>
    </w:p>
    <w:p w14:paraId="27DC1339" w14:textId="2BAD26D7" w:rsidR="00C05C0E" w:rsidRPr="00361AFC" w:rsidRDefault="00361AFC" w:rsidP="00C05C0E">
      <w:pPr>
        <w:spacing w:line="480" w:lineRule="auto"/>
        <w:ind w:firstLine="720"/>
        <w:jc w:val="both"/>
        <w:rPr>
          <w:rFonts w:ascii="Times New Roman" w:hAnsi="Times New Roman"/>
          <w:b/>
          <w:bCs/>
          <w:szCs w:val="24"/>
        </w:rPr>
      </w:pPr>
      <w:r>
        <w:rPr>
          <w:rFonts w:ascii="Times New Roman" w:hAnsi="Times New Roman"/>
          <w:szCs w:val="24"/>
        </w:rPr>
        <w:lastRenderedPageBreak/>
        <w:tab/>
      </w:r>
      <w:r>
        <w:rPr>
          <w:rFonts w:ascii="Times New Roman" w:hAnsi="Times New Roman"/>
          <w:szCs w:val="24"/>
        </w:rPr>
        <w:tab/>
      </w:r>
      <w:r>
        <w:rPr>
          <w:rFonts w:ascii="Times New Roman" w:hAnsi="Times New Roman"/>
          <w:szCs w:val="24"/>
        </w:rPr>
        <w:tab/>
      </w:r>
      <w:r>
        <w:rPr>
          <w:rFonts w:ascii="Times New Roman" w:hAnsi="Times New Roman"/>
          <w:szCs w:val="24"/>
        </w:rPr>
        <w:tab/>
      </w:r>
      <w:r w:rsidRPr="00361AFC">
        <w:rPr>
          <w:rFonts w:ascii="Times New Roman" w:hAnsi="Times New Roman"/>
          <w:b/>
          <w:bCs/>
          <w:szCs w:val="24"/>
        </w:rPr>
        <w:t>Current Literature</w:t>
      </w:r>
    </w:p>
    <w:p w14:paraId="65324440" w14:textId="70F30EB8" w:rsidR="00C05C0E" w:rsidRDefault="00C05C0E" w:rsidP="00C05C0E">
      <w:pPr>
        <w:spacing w:line="480" w:lineRule="auto"/>
        <w:ind w:firstLine="720"/>
        <w:jc w:val="both"/>
        <w:rPr>
          <w:rFonts w:ascii="Times New Roman" w:hAnsi="Times New Roman"/>
          <w:szCs w:val="24"/>
        </w:rPr>
      </w:pPr>
      <w:r>
        <w:rPr>
          <w:rFonts w:ascii="Times New Roman" w:hAnsi="Times New Roman"/>
          <w:szCs w:val="24"/>
        </w:rPr>
        <w:t xml:space="preserve">Since COVID-19 Telehealth has become an important care model for providers. During the pandemic, it was a tool to keep clients and providers safe from exposure, but since continues to be used to provide accessible care in the counseling world. Now that many of the US and outside countries have settled through the pandemic, telehealth is a common avenue to receive counseling for depression and anxiety. This review will show how telehealth has affected diverse populations and if there is enough evidence to show that it does not have disparities in access, especially for those of marginalized groups who make up a large part of the current Medicaid insurance users. </w:t>
      </w:r>
    </w:p>
    <w:p w14:paraId="79A23775" w14:textId="01D052D2" w:rsidR="008D7748" w:rsidRDefault="008D7748" w:rsidP="00C05C0E">
      <w:pPr>
        <w:spacing w:line="480" w:lineRule="auto"/>
        <w:ind w:firstLine="720"/>
        <w:jc w:val="both"/>
        <w:rPr>
          <w:rFonts w:ascii="Times New Roman" w:hAnsi="Times New Roman"/>
          <w:szCs w:val="24"/>
          <w:lang w:val="fr-FR"/>
        </w:rPr>
      </w:pPr>
      <w:r>
        <w:rPr>
          <w:rFonts w:ascii="Times New Roman" w:hAnsi="Times New Roman"/>
          <w:szCs w:val="24"/>
        </w:rPr>
        <w:t xml:space="preserve">Some of the history of telehealth </w:t>
      </w:r>
      <w:r w:rsidRPr="008D7748">
        <w:rPr>
          <w:rFonts w:ascii="Times New Roman" w:hAnsi="Times New Roman"/>
          <w:szCs w:val="24"/>
        </w:rPr>
        <w:t>The original concept of telehealth was providing basic care to rural and underserved patients.</w:t>
      </w:r>
      <w:r w:rsidRPr="008D7748">
        <w:rPr>
          <w:rFonts w:ascii="Times New Roman" w:hAnsi="Times New Roman"/>
          <w:szCs w:val="24"/>
        </w:rPr>
        <w:t xml:space="preserve"> </w:t>
      </w:r>
      <w:r>
        <w:rPr>
          <w:rFonts w:ascii="Times New Roman" w:hAnsi="Times New Roman"/>
          <w:szCs w:val="24"/>
        </w:rPr>
        <w:t>Incorporation of telelhealth has now become widely accpted for many factors.</w:t>
      </w:r>
      <w:r w:rsidRPr="008D7748">
        <w:rPr>
          <w:rFonts w:ascii="Times New Roman" w:hAnsi="Times New Roman"/>
          <w:szCs w:val="24"/>
        </w:rPr>
        <w:t xml:space="preserve"> </w:t>
      </w:r>
      <w:r>
        <w:rPr>
          <w:rFonts w:ascii="Times New Roman" w:hAnsi="Times New Roman"/>
          <w:szCs w:val="24"/>
        </w:rPr>
        <w:t>Firstly,</w:t>
      </w:r>
      <w:r w:rsidRPr="008D7748">
        <w:rPr>
          <w:rFonts w:ascii="Times New Roman" w:hAnsi="Times New Roman"/>
          <w:szCs w:val="24"/>
        </w:rPr>
        <w:t xml:space="preserve"> these factors is the transition of health care from fee-for-service models to models in which reimbursement is linked to patient and quality outcomes</w:t>
      </w:r>
      <w:r>
        <w:rPr>
          <w:rFonts w:ascii="Times New Roman" w:hAnsi="Times New Roman"/>
          <w:szCs w:val="24"/>
        </w:rPr>
        <w:t xml:space="preserve"> (</w:t>
      </w:r>
      <w:r w:rsidRPr="001D632A">
        <w:rPr>
          <w:rFonts w:ascii="Times New Roman" w:hAnsi="Times New Roman"/>
          <w:szCs w:val="24"/>
          <w:lang w:val="fr-FR"/>
        </w:rPr>
        <w:t>Gajarawala</w:t>
      </w:r>
      <w:r>
        <w:rPr>
          <w:rFonts w:ascii="Times New Roman" w:hAnsi="Times New Roman"/>
          <w:szCs w:val="24"/>
          <w:lang w:val="fr-FR"/>
        </w:rPr>
        <w:t xml:space="preserve"> </w:t>
      </w:r>
      <w:r w:rsidRPr="001D632A">
        <w:rPr>
          <w:rFonts w:ascii="Times New Roman" w:hAnsi="Times New Roman"/>
          <w:szCs w:val="24"/>
          <w:lang w:val="fr-FR"/>
        </w:rPr>
        <w:t>&amp; Pelkowski</w:t>
      </w:r>
      <w:r>
        <w:rPr>
          <w:rFonts w:ascii="Times New Roman" w:hAnsi="Times New Roman"/>
          <w:szCs w:val="24"/>
        </w:rPr>
        <w:t xml:space="preserve">, 2021). </w:t>
      </w:r>
      <w:r w:rsidRPr="008D7748">
        <w:rPr>
          <w:rFonts w:ascii="Times New Roman" w:hAnsi="Times New Roman"/>
          <w:szCs w:val="24"/>
        </w:rPr>
        <w:t xml:space="preserve">With increasing emphasis and pressure for hospitals and providers to provide quality patient care and cut costs, </w:t>
      </w:r>
      <w:r>
        <w:rPr>
          <w:rFonts w:ascii="Times New Roman" w:hAnsi="Times New Roman"/>
          <w:szCs w:val="24"/>
        </w:rPr>
        <w:t>telehealth has been used</w:t>
      </w:r>
      <w:r w:rsidRPr="008D7748">
        <w:rPr>
          <w:rFonts w:ascii="Times New Roman" w:hAnsi="Times New Roman"/>
          <w:szCs w:val="24"/>
        </w:rPr>
        <w:t xml:space="preserve"> succe</w:t>
      </w:r>
      <w:r>
        <w:rPr>
          <w:rFonts w:ascii="Times New Roman" w:hAnsi="Times New Roman"/>
          <w:szCs w:val="24"/>
        </w:rPr>
        <w:t xml:space="preserve">ssfully </w:t>
      </w:r>
      <w:r w:rsidRPr="008D7748">
        <w:rPr>
          <w:rFonts w:ascii="Times New Roman" w:hAnsi="Times New Roman"/>
          <w:szCs w:val="24"/>
        </w:rPr>
        <w:t>in multiple medical specialties and settings</w:t>
      </w:r>
      <w:r>
        <w:rPr>
          <w:rFonts w:ascii="Times New Roman" w:hAnsi="Times New Roman"/>
          <w:szCs w:val="24"/>
        </w:rPr>
        <w:t xml:space="preserve"> (</w:t>
      </w:r>
      <w:r w:rsidRPr="001D632A">
        <w:rPr>
          <w:rFonts w:ascii="Times New Roman" w:hAnsi="Times New Roman"/>
          <w:szCs w:val="24"/>
          <w:lang w:val="fr-FR"/>
        </w:rPr>
        <w:t>Gajarawala</w:t>
      </w:r>
      <w:r>
        <w:rPr>
          <w:rFonts w:ascii="Times New Roman" w:hAnsi="Times New Roman"/>
          <w:szCs w:val="24"/>
          <w:lang w:val="fr-FR"/>
        </w:rPr>
        <w:t xml:space="preserve"> </w:t>
      </w:r>
      <w:r w:rsidRPr="001D632A">
        <w:rPr>
          <w:rFonts w:ascii="Times New Roman" w:hAnsi="Times New Roman"/>
          <w:szCs w:val="24"/>
          <w:lang w:val="fr-FR"/>
        </w:rPr>
        <w:t>&amp; Pelkowski</w:t>
      </w:r>
      <w:r>
        <w:rPr>
          <w:rFonts w:ascii="Times New Roman" w:hAnsi="Times New Roman"/>
          <w:szCs w:val="24"/>
          <w:lang w:val="fr-FR"/>
        </w:rPr>
        <w:t xml:space="preserve">, 2021). However, the success does not come with out barriers especially as we look at serving diverse populations. </w:t>
      </w:r>
    </w:p>
    <w:p w14:paraId="2131A577" w14:textId="46240184" w:rsidR="00361AFC" w:rsidRPr="00361AFC" w:rsidRDefault="00361AFC" w:rsidP="00C05C0E">
      <w:pPr>
        <w:spacing w:line="480" w:lineRule="auto"/>
        <w:ind w:firstLine="720"/>
        <w:jc w:val="both"/>
        <w:rPr>
          <w:rFonts w:ascii="Times New Roman" w:hAnsi="Times New Roman"/>
          <w:b/>
          <w:bCs/>
          <w:szCs w:val="24"/>
        </w:rPr>
      </w:pPr>
      <w:r>
        <w:rPr>
          <w:rFonts w:ascii="Times New Roman" w:hAnsi="Times New Roman"/>
          <w:szCs w:val="24"/>
          <w:lang w:val="fr-FR"/>
        </w:rPr>
        <w:tab/>
      </w:r>
      <w:r>
        <w:rPr>
          <w:rFonts w:ascii="Times New Roman" w:hAnsi="Times New Roman"/>
          <w:szCs w:val="24"/>
          <w:lang w:val="fr-FR"/>
        </w:rPr>
        <w:tab/>
      </w:r>
      <w:r>
        <w:rPr>
          <w:rFonts w:ascii="Times New Roman" w:hAnsi="Times New Roman"/>
          <w:szCs w:val="24"/>
          <w:lang w:val="fr-FR"/>
        </w:rPr>
        <w:tab/>
      </w:r>
      <w:r w:rsidRPr="00361AFC">
        <w:rPr>
          <w:rFonts w:ascii="Times New Roman" w:hAnsi="Times New Roman"/>
          <w:b/>
          <w:bCs/>
          <w:szCs w:val="24"/>
          <w:lang w:val="fr-FR"/>
        </w:rPr>
        <w:t>Curren</w:t>
      </w:r>
      <w:r>
        <w:rPr>
          <w:rFonts w:ascii="Times New Roman" w:hAnsi="Times New Roman"/>
          <w:b/>
          <w:bCs/>
          <w:szCs w:val="24"/>
          <w:lang w:val="fr-FR"/>
        </w:rPr>
        <w:t xml:space="preserve">t </w:t>
      </w:r>
      <w:r w:rsidRPr="00361AFC">
        <w:rPr>
          <w:rFonts w:ascii="Times New Roman" w:hAnsi="Times New Roman"/>
          <w:b/>
          <w:bCs/>
          <w:szCs w:val="24"/>
          <w:lang w:val="fr-FR"/>
        </w:rPr>
        <w:t>Methods of R</w:t>
      </w:r>
      <w:r>
        <w:rPr>
          <w:rFonts w:ascii="Times New Roman" w:hAnsi="Times New Roman"/>
          <w:b/>
          <w:bCs/>
          <w:szCs w:val="24"/>
          <w:lang w:val="fr-FR"/>
        </w:rPr>
        <w:t>e</w:t>
      </w:r>
      <w:r w:rsidRPr="00361AFC">
        <w:rPr>
          <w:rFonts w:ascii="Times New Roman" w:hAnsi="Times New Roman"/>
          <w:b/>
          <w:bCs/>
          <w:szCs w:val="24"/>
          <w:lang w:val="fr-FR"/>
        </w:rPr>
        <w:t>search</w:t>
      </w:r>
    </w:p>
    <w:p w14:paraId="0F7C921C" w14:textId="33FEA032" w:rsidR="00C05C0E" w:rsidRDefault="00C05C0E" w:rsidP="00C05C0E">
      <w:pPr>
        <w:spacing w:line="480" w:lineRule="auto"/>
        <w:ind w:firstLine="720"/>
        <w:jc w:val="both"/>
        <w:rPr>
          <w:rFonts w:ascii="Times New Roman" w:hAnsi="Times New Roman"/>
          <w:szCs w:val="24"/>
        </w:rPr>
      </w:pPr>
      <w:r>
        <w:rPr>
          <w:rFonts w:ascii="Times New Roman" w:hAnsi="Times New Roman"/>
          <w:szCs w:val="24"/>
        </w:rPr>
        <w:t xml:space="preserve">There have been qualitative and quantitative research to study the question of barriers for multicultural groups. </w:t>
      </w:r>
      <w:r w:rsidR="008D7748">
        <w:rPr>
          <w:rFonts w:ascii="Times New Roman" w:hAnsi="Times New Roman"/>
          <w:szCs w:val="24"/>
        </w:rPr>
        <w:t xml:space="preserve">Some of the studied barriers include </w:t>
      </w:r>
      <w:r w:rsidR="008D7748" w:rsidRPr="008D7748">
        <w:rPr>
          <w:rFonts w:ascii="Times New Roman" w:hAnsi="Times New Roman"/>
          <w:szCs w:val="24"/>
        </w:rPr>
        <w:t>limitations with performing comprehensive physical examinations, possibilities for technical difficulties, security breaches, and regulatory barriers.</w:t>
      </w:r>
      <w:r w:rsidR="008D7748">
        <w:rPr>
          <w:rFonts w:ascii="Times New Roman" w:hAnsi="Times New Roman"/>
          <w:szCs w:val="24"/>
        </w:rPr>
        <w:t xml:space="preserve"> This is especially impactful to diverse p</w:t>
      </w:r>
      <w:r w:rsidR="00585736">
        <w:rPr>
          <w:rFonts w:ascii="Times New Roman" w:hAnsi="Times New Roman"/>
          <w:szCs w:val="24"/>
        </w:rPr>
        <w:t>o</w:t>
      </w:r>
      <w:r w:rsidR="008D7748">
        <w:rPr>
          <w:rFonts w:ascii="Times New Roman" w:hAnsi="Times New Roman"/>
          <w:szCs w:val="24"/>
        </w:rPr>
        <w:t xml:space="preserve">pulations as physical examinations, assessments and interventions already contunue the need for cultural competencies and sensitivity. </w:t>
      </w:r>
      <w:r w:rsidR="00585736">
        <w:rPr>
          <w:rFonts w:ascii="Times New Roman" w:hAnsi="Times New Roman"/>
          <w:szCs w:val="24"/>
        </w:rPr>
        <w:t xml:space="preserve">In a quantitative research report of twenty percent of 2019-2020 Medicare </w:t>
      </w:r>
      <w:r w:rsidR="00585736">
        <w:rPr>
          <w:rFonts w:ascii="Times New Roman" w:hAnsi="Times New Roman"/>
          <w:szCs w:val="24"/>
        </w:rPr>
        <w:lastRenderedPageBreak/>
        <w:t xml:space="preserve">beneficiaries samples, across the nation, telehealth was less likely to </w:t>
      </w:r>
      <w:r w:rsidR="00585736" w:rsidRPr="00585736">
        <w:rPr>
          <w:rFonts w:ascii="Times New Roman" w:hAnsi="Times New Roman"/>
          <w:szCs w:val="24"/>
        </w:rPr>
        <w:t>mong non-Hispanic Black/African-American beneficiaries, relative to non-Hispanic White beneficiaries in both 2019 and 2020, with larger disparities in 2020</w:t>
      </w:r>
      <w:r w:rsidR="00585736">
        <w:rPr>
          <w:rFonts w:ascii="Times New Roman" w:hAnsi="Times New Roman"/>
          <w:szCs w:val="24"/>
        </w:rPr>
        <w:t xml:space="preserve"> (Bogulski et al, 2025). </w:t>
      </w:r>
      <w:r w:rsidR="00585736" w:rsidRPr="00585736">
        <w:rPr>
          <w:rFonts w:ascii="Times New Roman" w:hAnsi="Times New Roman"/>
          <w:szCs w:val="24"/>
        </w:rPr>
        <w:t xml:space="preserve">In both years, </w:t>
      </w:r>
      <w:r w:rsidR="00585736">
        <w:rPr>
          <w:rFonts w:ascii="Times New Roman" w:hAnsi="Times New Roman"/>
          <w:szCs w:val="24"/>
        </w:rPr>
        <w:t>both</w:t>
      </w:r>
      <w:r w:rsidR="00585736" w:rsidRPr="00585736">
        <w:rPr>
          <w:rFonts w:ascii="Times New Roman" w:hAnsi="Times New Roman"/>
          <w:szCs w:val="24"/>
        </w:rPr>
        <w:t xml:space="preserve"> eligible Medicare/Medicaid beneficiaries were more likely than </w:t>
      </w:r>
      <w:r w:rsidR="00585736">
        <w:rPr>
          <w:rFonts w:ascii="Times New Roman" w:hAnsi="Times New Roman"/>
          <w:szCs w:val="24"/>
        </w:rPr>
        <w:t xml:space="preserve">both </w:t>
      </w:r>
      <w:r w:rsidR="00585736" w:rsidRPr="00585736">
        <w:rPr>
          <w:rFonts w:ascii="Times New Roman" w:hAnsi="Times New Roman"/>
          <w:szCs w:val="24"/>
        </w:rPr>
        <w:t>eligible beneficiaries to utilize telehealth</w:t>
      </w:r>
      <w:r w:rsidR="00585736">
        <w:rPr>
          <w:rFonts w:ascii="Times New Roman" w:hAnsi="Times New Roman"/>
          <w:szCs w:val="24"/>
        </w:rPr>
        <w:t xml:space="preserve"> (Bogulaski et al, 2025).</w:t>
      </w:r>
      <w:r w:rsidR="00585736" w:rsidRPr="00585736">
        <w:rPr>
          <w:rFonts w:ascii="Times New Roman" w:hAnsi="Times New Roman"/>
          <w:szCs w:val="24"/>
        </w:rPr>
        <w:t>However, the effects of dual eligibility and rurality changed in both models as the number of chronic conditions increased.</w:t>
      </w:r>
      <w:r w:rsidR="00585736">
        <w:rPr>
          <w:rFonts w:ascii="Times New Roman" w:hAnsi="Times New Roman"/>
          <w:szCs w:val="24"/>
        </w:rPr>
        <w:t xml:space="preserve"> Further showing that telehealth may just be a adjunct tool with in- person interventions. </w:t>
      </w:r>
    </w:p>
    <w:p w14:paraId="6D53388B" w14:textId="4A547AB3" w:rsidR="00585736" w:rsidRDefault="00585736" w:rsidP="00C05C0E">
      <w:pPr>
        <w:spacing w:line="480" w:lineRule="auto"/>
        <w:ind w:firstLine="720"/>
        <w:jc w:val="both"/>
        <w:rPr>
          <w:rFonts w:ascii="Times New Roman" w:hAnsi="Times New Roman"/>
          <w:szCs w:val="24"/>
        </w:rPr>
      </w:pPr>
      <w:r>
        <w:rPr>
          <w:rFonts w:ascii="Times New Roman" w:hAnsi="Times New Roman"/>
          <w:szCs w:val="24"/>
        </w:rPr>
        <w:t>Other research further shows a need for more accessability for rural clients, however there is limited qualitative evidence for the client’s experience in telehealth, which may play a large role in how to reduce barriers. In</w:t>
      </w:r>
      <w:r w:rsidR="004A77FA">
        <w:rPr>
          <w:rFonts w:ascii="Times New Roman" w:hAnsi="Times New Roman"/>
          <w:szCs w:val="24"/>
        </w:rPr>
        <w:t xml:space="preserve"> the next study of rural clients ecpereinces of video telehealth. According to Rowe and Chapman (2024</w:t>
      </w:r>
      <w:r w:rsidR="004A77FA" w:rsidRPr="004A77FA">
        <w:rPr>
          <w:rFonts w:ascii="Times New Roman" w:hAnsi="Times New Roman"/>
          <w:szCs w:val="24"/>
        </w:rPr>
        <w:t xml:space="preserve">), five </w:t>
      </w:r>
      <w:r w:rsidR="004A77FA" w:rsidRPr="004A77FA">
        <w:rPr>
          <w:rFonts w:ascii="Times New Roman" w:hAnsi="Times New Roman"/>
          <w:szCs w:val="24"/>
        </w:rPr>
        <w:t>databases for articles published from 2016 through 2022</w:t>
      </w:r>
      <w:r w:rsidR="004A77FA">
        <w:rPr>
          <w:rFonts w:ascii="Times New Roman" w:hAnsi="Times New Roman"/>
          <w:szCs w:val="24"/>
        </w:rPr>
        <w:t xml:space="preserve"> were gathered.</w:t>
      </w:r>
      <w:r w:rsidR="004A77FA" w:rsidRPr="004A77FA">
        <w:rPr>
          <w:rFonts w:ascii="Times New Roman" w:hAnsi="Times New Roman"/>
          <w:szCs w:val="24"/>
        </w:rPr>
        <w:t xml:space="preserve"> Primary research reports assessing rural adult patient experiences with synchronous video telehealth in the United States in any clinical area were included. Data collected pertained to study characteristics and patient experience assessment characteristics and outcomes. Quality of included studies was assessed using the Quality Assessment with Diverse Studies tool.</w:t>
      </w:r>
      <w:r w:rsidR="004A77FA">
        <w:rPr>
          <w:rFonts w:ascii="Times New Roman" w:hAnsi="Times New Roman"/>
          <w:szCs w:val="24"/>
        </w:rPr>
        <w:t xml:space="preserve"> (Rowe &amp; Chapman, 2024). This article showed, that there are some positive reviews of telehealth with rurality, but the study have kimited generalizability of findings.</w:t>
      </w:r>
    </w:p>
    <w:p w14:paraId="1E6566BA" w14:textId="19749DAA" w:rsidR="004A77FA" w:rsidRDefault="004A77FA" w:rsidP="00C05C0E">
      <w:pPr>
        <w:spacing w:line="480" w:lineRule="auto"/>
        <w:ind w:firstLine="720"/>
        <w:jc w:val="both"/>
        <w:rPr>
          <w:rFonts w:ascii="Times New Roman" w:hAnsi="Times New Roman"/>
          <w:szCs w:val="24"/>
        </w:rPr>
      </w:pPr>
      <w:r>
        <w:rPr>
          <w:rFonts w:ascii="Times New Roman" w:hAnsi="Times New Roman"/>
          <w:szCs w:val="24"/>
        </w:rPr>
        <w:t xml:space="preserve">The </w:t>
      </w:r>
      <w:r w:rsidR="00980498">
        <w:rPr>
          <w:rFonts w:ascii="Times New Roman" w:hAnsi="Times New Roman"/>
          <w:szCs w:val="24"/>
        </w:rPr>
        <w:t>p</w:t>
      </w:r>
      <w:r>
        <w:rPr>
          <w:rFonts w:ascii="Times New Roman" w:hAnsi="Times New Roman"/>
          <w:szCs w:val="24"/>
        </w:rPr>
        <w:t>ublished article on immigrants and their barriers to telehealth leave further</w:t>
      </w:r>
      <w:r w:rsidR="00980498">
        <w:rPr>
          <w:rFonts w:ascii="Times New Roman" w:hAnsi="Times New Roman"/>
          <w:szCs w:val="24"/>
        </w:rPr>
        <w:t xml:space="preserve"> answers of mixed methods of snowball sampling. </w:t>
      </w:r>
      <w:r w:rsidR="00980498" w:rsidRPr="00980498">
        <w:rPr>
          <w:rFonts w:ascii="Times New Roman" w:hAnsi="Times New Roman"/>
          <w:szCs w:val="24"/>
        </w:rPr>
        <w:t>mmigrants in the United States face a complex system of barriers to accessing quality healthcare that stems from systemic inequities, legal restrictions, and cultural differences</w:t>
      </w:r>
      <w:r w:rsidR="00980498">
        <w:rPr>
          <w:rFonts w:ascii="Times New Roman" w:hAnsi="Times New Roman"/>
          <w:szCs w:val="24"/>
        </w:rPr>
        <w:t xml:space="preserve"> (Garcia-Casteneda, 2025).</w:t>
      </w:r>
      <w:r w:rsidR="00980498" w:rsidRPr="00980498">
        <w:rPr>
          <w:rFonts w:ascii="Times New Roman" w:hAnsi="Times New Roman"/>
          <w:szCs w:val="24"/>
        </w:rPr>
        <w:t xml:space="preserve"> </w:t>
      </w:r>
      <w:r w:rsidR="00980498">
        <w:rPr>
          <w:rFonts w:ascii="Times New Roman" w:hAnsi="Times New Roman"/>
          <w:szCs w:val="24"/>
        </w:rPr>
        <w:t xml:space="preserve">Current research is showing the need for telehealth for immigrants, however addressing the gaps of  </w:t>
      </w:r>
      <w:r w:rsidR="00980498" w:rsidRPr="00980498">
        <w:rPr>
          <w:rFonts w:ascii="Times New Roman" w:hAnsi="Times New Roman"/>
          <w:szCs w:val="24"/>
        </w:rPr>
        <w:t xml:space="preserve">emerging issues like that of shifting to </w:t>
      </w:r>
      <w:r w:rsidR="00980498" w:rsidRPr="00980498">
        <w:rPr>
          <w:rFonts w:ascii="Times New Roman" w:hAnsi="Times New Roman"/>
          <w:szCs w:val="24"/>
        </w:rPr>
        <w:lastRenderedPageBreak/>
        <w:t xml:space="preserve">telehealth remain underexplored. </w:t>
      </w:r>
      <w:r w:rsidR="00980498">
        <w:rPr>
          <w:rFonts w:ascii="Times New Roman" w:hAnsi="Times New Roman"/>
          <w:szCs w:val="24"/>
        </w:rPr>
        <w:t xml:space="preserve">This study used a mixed method of mostlu qualittative approach, of Mexican- Americans in Califronia. The stregnth of the study centered around validated tools like </w:t>
      </w:r>
      <w:r w:rsidR="00616378">
        <w:rPr>
          <w:rFonts w:ascii="Times New Roman" w:hAnsi="Times New Roman"/>
          <w:szCs w:val="24"/>
        </w:rPr>
        <w:t>DHCLS (Garcia- Casteneda, 2025).</w:t>
      </w:r>
    </w:p>
    <w:p w14:paraId="0855A053" w14:textId="43068ACD" w:rsidR="00616378" w:rsidRDefault="00616378" w:rsidP="00C05C0E">
      <w:pPr>
        <w:spacing w:line="480" w:lineRule="auto"/>
        <w:ind w:firstLine="720"/>
        <w:jc w:val="both"/>
        <w:rPr>
          <w:rFonts w:ascii="Times New Roman" w:hAnsi="Times New Roman"/>
          <w:szCs w:val="24"/>
        </w:rPr>
      </w:pPr>
      <w:r>
        <w:rPr>
          <w:rFonts w:ascii="Times New Roman" w:hAnsi="Times New Roman"/>
          <w:szCs w:val="24"/>
        </w:rPr>
        <w:t>In other research done, a qualittative study of parents of pediatric patients of primary care in diverse communities, surveys from these parents found some of the existing conclusions. Surveys showed that language, situation preferences of in person visits, and technical difficulties in more of the parents of spanish speaking homes. Still, study showed 48% having used telehealth for their first primary care visit that further addressment of barriers for Spanish- speaking should be addressed through video tutorials of how to connect to telehealth and potentially giving families technical devices.Whereas the 52% of English speaking parents did not have these barriers or needs as widely as the parents who spoke Spanish (Samuels, Kalow et al., 2024).</w:t>
      </w:r>
    </w:p>
    <w:p w14:paraId="5D43BFB9" w14:textId="2EA33292" w:rsidR="00616378" w:rsidRDefault="00FA102E" w:rsidP="00C05C0E">
      <w:pPr>
        <w:spacing w:line="480" w:lineRule="auto"/>
        <w:ind w:firstLine="720"/>
        <w:jc w:val="both"/>
        <w:rPr>
          <w:rFonts w:ascii="Times New Roman" w:hAnsi="Times New Roman"/>
          <w:szCs w:val="24"/>
        </w:rPr>
      </w:pPr>
      <w:r>
        <w:rPr>
          <w:rFonts w:ascii="Times New Roman" w:hAnsi="Times New Roman"/>
          <w:szCs w:val="24"/>
        </w:rPr>
        <w:t>In another mixed method study, Barwise et al (2023) found that although the benefits of telehealth for these clioents across Midwest, Arizona and Florida, was well reciveed particpants were still worried about fully being able to express themselves via telehealth. Methods used were a mix of</w:t>
      </w:r>
      <w:r w:rsidRPr="00FA102E">
        <w:rPr>
          <w:rFonts w:ascii="Times New Roman" w:hAnsi="Times New Roman"/>
          <w:szCs w:val="24"/>
        </w:rPr>
        <w:t xml:space="preserve"> quantitative data using SAS software and standard statistical approaches.</w:t>
      </w:r>
      <w:r>
        <w:rPr>
          <w:rFonts w:ascii="Times New Roman" w:hAnsi="Times New Roman"/>
          <w:szCs w:val="24"/>
        </w:rPr>
        <w:t xml:space="preserve"> The study</w:t>
      </w:r>
      <w:r w:rsidRPr="00FA102E">
        <w:rPr>
          <w:rFonts w:ascii="Times New Roman" w:hAnsi="Times New Roman"/>
          <w:szCs w:val="24"/>
        </w:rPr>
        <w:t xml:space="preserve"> examined the effect of region, age, ethnicity/race, and education on the use and perceptions of telehealth.</w:t>
      </w:r>
      <w:r>
        <w:rPr>
          <w:rFonts w:ascii="Times New Roman" w:hAnsi="Times New Roman"/>
          <w:szCs w:val="24"/>
        </w:rPr>
        <w:t xml:space="preserve"> 90% of the focused groups had internet and 94% used telehealth. These sentimentd were edpeciallu prominent in the Indigenous populations (Barwise et al, 2023).</w:t>
      </w:r>
    </w:p>
    <w:p w14:paraId="0346E203" w14:textId="70FA3EC4" w:rsidR="00FA102E" w:rsidRDefault="00FA102E" w:rsidP="00C05C0E">
      <w:pPr>
        <w:spacing w:line="480" w:lineRule="auto"/>
        <w:ind w:firstLine="720"/>
        <w:jc w:val="both"/>
        <w:rPr>
          <w:rFonts w:ascii="Times New Roman" w:hAnsi="Times New Roman"/>
          <w:szCs w:val="24"/>
        </w:rPr>
      </w:pPr>
      <w:r>
        <w:rPr>
          <w:rFonts w:ascii="Times New Roman" w:hAnsi="Times New Roman"/>
          <w:szCs w:val="24"/>
        </w:rPr>
        <w:t>Lastly, the published study showed some of the same results as the other articles with varying methods</w:t>
      </w:r>
      <w:r w:rsidRPr="00FA102E">
        <w:rPr>
          <w:rFonts w:ascii="Times New Roman" w:hAnsi="Times New Roman"/>
          <w:szCs w:val="24"/>
        </w:rPr>
        <w:t xml:space="preserve">. </w:t>
      </w:r>
      <w:r w:rsidRPr="00FA102E">
        <w:rPr>
          <w:rFonts w:ascii="Times New Roman" w:hAnsi="Times New Roman"/>
          <w:szCs w:val="24"/>
        </w:rPr>
        <w:t>This research analyzed trends and disparities in Medicare reimbursed telehealth usage and claims from 2020 through 2022 using data from the Centers for Medicare &amp; Medicaid Services.</w:t>
      </w:r>
      <w:r>
        <w:rPr>
          <w:rFonts w:ascii="Times New Roman" w:hAnsi="Times New Roman"/>
          <w:szCs w:val="24"/>
        </w:rPr>
        <w:t xml:space="preserve"> The results showed </w:t>
      </w:r>
      <w:r w:rsidRPr="00FA102E">
        <w:rPr>
          <w:rFonts w:ascii="Times New Roman" w:hAnsi="Times New Roman"/>
          <w:szCs w:val="24"/>
        </w:rPr>
        <w:t xml:space="preserve">enormous </w:t>
      </w:r>
      <w:r w:rsidRPr="00FA102E">
        <w:rPr>
          <w:rFonts w:ascii="Times New Roman" w:hAnsi="Times New Roman"/>
          <w:szCs w:val="24"/>
        </w:rPr>
        <w:t>racial differences</w:t>
      </w:r>
      <w:r>
        <w:rPr>
          <w:rFonts w:ascii="Times New Roman" w:hAnsi="Times New Roman"/>
          <w:szCs w:val="24"/>
        </w:rPr>
        <w:t xml:space="preserve"> </w:t>
      </w:r>
      <w:r w:rsidRPr="00FA102E">
        <w:rPr>
          <w:rFonts w:ascii="Times New Roman" w:hAnsi="Times New Roman"/>
          <w:szCs w:val="24"/>
        </w:rPr>
        <w:t xml:space="preserve">observed in 2020–2022, with lower </w:t>
      </w:r>
      <w:r w:rsidRPr="00FA102E">
        <w:rPr>
          <w:rFonts w:ascii="Times New Roman" w:hAnsi="Times New Roman"/>
          <w:szCs w:val="24"/>
        </w:rPr>
        <w:lastRenderedPageBreak/>
        <w:t>telehealth usage among African Americans</w:t>
      </w:r>
      <w:r>
        <w:rPr>
          <w:rFonts w:ascii="Times New Roman" w:hAnsi="Times New Roman"/>
          <w:szCs w:val="24"/>
        </w:rPr>
        <w:t xml:space="preserve">, </w:t>
      </w:r>
      <w:r w:rsidRPr="00FA102E">
        <w:rPr>
          <w:rFonts w:ascii="Times New Roman" w:hAnsi="Times New Roman"/>
          <w:szCs w:val="24"/>
        </w:rPr>
        <w:t>Hispanics</w:t>
      </w:r>
      <w:r>
        <w:rPr>
          <w:rFonts w:ascii="Times New Roman" w:hAnsi="Times New Roman"/>
          <w:szCs w:val="24"/>
        </w:rPr>
        <w:t xml:space="preserve">, </w:t>
      </w:r>
      <w:r w:rsidRPr="00FA102E">
        <w:rPr>
          <w:rFonts w:ascii="Times New Roman" w:hAnsi="Times New Roman"/>
          <w:szCs w:val="24"/>
        </w:rPr>
        <w:t>American Indians/Alaska Natives</w:t>
      </w:r>
      <w:r>
        <w:rPr>
          <w:rFonts w:ascii="Times New Roman" w:hAnsi="Times New Roman"/>
          <w:szCs w:val="24"/>
        </w:rPr>
        <w:t xml:space="preserve"> </w:t>
      </w:r>
      <w:r w:rsidRPr="00FA102E">
        <w:rPr>
          <w:rFonts w:ascii="Times New Roman" w:hAnsi="Times New Roman"/>
          <w:szCs w:val="24"/>
        </w:rPr>
        <w:t>and Asian Pacific Americans</w:t>
      </w:r>
      <w:r>
        <w:rPr>
          <w:rFonts w:ascii="Times New Roman" w:hAnsi="Times New Roman"/>
          <w:szCs w:val="24"/>
        </w:rPr>
        <w:t xml:space="preserve"> </w:t>
      </w:r>
      <w:r w:rsidRPr="00FA102E">
        <w:rPr>
          <w:rFonts w:ascii="Times New Roman" w:hAnsi="Times New Roman"/>
          <w:szCs w:val="24"/>
        </w:rPr>
        <w:t>versus Non-Hispanic Whites</w:t>
      </w:r>
      <w:r>
        <w:rPr>
          <w:rFonts w:ascii="Times New Roman" w:hAnsi="Times New Roman"/>
          <w:szCs w:val="24"/>
        </w:rPr>
        <w:t xml:space="preserve"> </w:t>
      </w:r>
      <w:r w:rsidRPr="00FA102E">
        <w:rPr>
          <w:rFonts w:ascii="Times New Roman" w:hAnsi="Times New Roman"/>
          <w:szCs w:val="24"/>
        </w:rPr>
        <w:t>(</w:t>
      </w:r>
      <w:r w:rsidRPr="00FA102E">
        <w:rPr>
          <w:rFonts w:ascii="Times New Roman" w:hAnsi="Times New Roman"/>
          <w:szCs w:val="24"/>
        </w:rPr>
        <w:t>Bhagavathula</w:t>
      </w:r>
      <w:r w:rsidRPr="00FA102E">
        <w:rPr>
          <w:rFonts w:ascii="Times New Roman" w:hAnsi="Times New Roman"/>
          <w:szCs w:val="24"/>
        </w:rPr>
        <w:t xml:space="preserve"> &amp; </w:t>
      </w:r>
      <w:r w:rsidRPr="00FA102E">
        <w:rPr>
          <w:rFonts w:ascii="Times New Roman" w:hAnsi="Times New Roman"/>
          <w:szCs w:val="24"/>
        </w:rPr>
        <w:t>Aldhaleei</w:t>
      </w:r>
      <w:r w:rsidRPr="00FA102E">
        <w:rPr>
          <w:rFonts w:ascii="Times New Roman" w:hAnsi="Times New Roman"/>
          <w:szCs w:val="24"/>
        </w:rPr>
        <w:t>, 2023).</w:t>
      </w:r>
    </w:p>
    <w:p w14:paraId="32D6AFF7" w14:textId="2E30BAEB" w:rsidR="00361AFC" w:rsidRPr="00361AFC" w:rsidRDefault="00361AFC" w:rsidP="00C05C0E">
      <w:pPr>
        <w:spacing w:line="480" w:lineRule="auto"/>
        <w:ind w:firstLine="720"/>
        <w:jc w:val="both"/>
        <w:rPr>
          <w:rFonts w:ascii="Times New Roman" w:hAnsi="Times New Roman"/>
          <w:b/>
          <w:bCs/>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sidRPr="00361AFC">
        <w:rPr>
          <w:rFonts w:ascii="Times New Roman" w:hAnsi="Times New Roman"/>
          <w:b/>
          <w:bCs/>
          <w:szCs w:val="24"/>
        </w:rPr>
        <w:t>Strengths and Limitations</w:t>
      </w:r>
    </w:p>
    <w:p w14:paraId="065E5101" w14:textId="77777777" w:rsidR="00361AFC" w:rsidRDefault="00FA102E" w:rsidP="00C05C0E">
      <w:pPr>
        <w:spacing w:line="480" w:lineRule="auto"/>
        <w:ind w:firstLine="720"/>
        <w:jc w:val="both"/>
        <w:rPr>
          <w:rFonts w:ascii="Times New Roman" w:hAnsi="Times New Roman"/>
          <w:szCs w:val="24"/>
        </w:rPr>
      </w:pPr>
      <w:r>
        <w:rPr>
          <w:rFonts w:ascii="Times New Roman" w:hAnsi="Times New Roman"/>
          <w:szCs w:val="24"/>
        </w:rPr>
        <w:t xml:space="preserve">The strengths of these studies varies through mixed methods, however each study conclusions had the same sentiment of needing to address further gaps and barriers. The studies were limited in showing results of more positive inpacts for diverse groups, but remained minimally barrierd for those of Non- Hsipanic Whites, especially if they already had access to internet and had used telehealth services. While the studies guve insight to the research gaps of barriers, there is still limited studies done that have adressed a solution. For rural areas of diverse groups, telehealth only worked well if there was accessability and many of the diverse groups still wanted to have an in-person visit due to cultural norms of expression and being able to get a physcial exam as well. For the counseling world, this shows that research is still needed in how to make utlization higher and also remains that utiliation maybe lower in some groups as culturally these populations prefer an in- person session. They did not cover if symptoms were decreased or overwell being, however discussed the benefits of telehealth were useful, but still to be determined fully. </w:t>
      </w:r>
    </w:p>
    <w:p w14:paraId="7615C3FB" w14:textId="76BB3146" w:rsidR="00FA102E" w:rsidRPr="00FA102E" w:rsidRDefault="00361AFC" w:rsidP="00C05C0E">
      <w:pPr>
        <w:spacing w:line="480" w:lineRule="auto"/>
        <w:ind w:firstLine="720"/>
        <w:jc w:val="both"/>
        <w:rPr>
          <w:rFonts w:ascii="Times New Roman" w:hAnsi="Times New Roman"/>
          <w:szCs w:val="24"/>
        </w:rPr>
      </w:pPr>
      <w:r>
        <w:rPr>
          <w:rFonts w:ascii="Times New Roman" w:hAnsi="Times New Roman"/>
          <w:szCs w:val="24"/>
        </w:rPr>
        <w:t>Overall, these published studies only hit the service of what is needed for barriers and gaps of counseling for diverse groups. Telehealth is an adjunct option for many participants , but it is not consistent for all groups. Finding a gap resolution will take increased research potentially for each group, age, sex, and location which may make interventions complex.</w:t>
      </w:r>
    </w:p>
    <w:p w14:paraId="3251A86D" w14:textId="77777777" w:rsidR="00C05C0E" w:rsidRDefault="00C05C0E" w:rsidP="00C05C0E">
      <w:pPr>
        <w:spacing w:line="480" w:lineRule="auto"/>
        <w:ind w:firstLine="720"/>
        <w:jc w:val="both"/>
        <w:rPr>
          <w:rFonts w:ascii="Times New Roman" w:hAnsi="Times New Roman"/>
          <w:szCs w:val="24"/>
        </w:rPr>
      </w:pPr>
    </w:p>
    <w:p w14:paraId="14832B34" w14:textId="77777777" w:rsidR="00C05C0E" w:rsidRDefault="00C05C0E" w:rsidP="00AA233B">
      <w:pPr>
        <w:spacing w:line="480" w:lineRule="auto"/>
        <w:ind w:left="2880" w:firstLine="720"/>
        <w:jc w:val="both"/>
        <w:rPr>
          <w:rFonts w:ascii="Times New Roman" w:hAnsi="Times New Roman"/>
          <w:szCs w:val="24"/>
        </w:rPr>
      </w:pPr>
    </w:p>
    <w:p w14:paraId="01F9BC77" w14:textId="77777777" w:rsidR="00C05C0E" w:rsidRDefault="00C05C0E" w:rsidP="00AA233B">
      <w:pPr>
        <w:spacing w:line="480" w:lineRule="auto"/>
        <w:ind w:left="2880" w:firstLine="720"/>
        <w:jc w:val="both"/>
        <w:rPr>
          <w:rFonts w:ascii="Times New Roman" w:hAnsi="Times New Roman"/>
          <w:szCs w:val="24"/>
        </w:rPr>
      </w:pPr>
    </w:p>
    <w:p w14:paraId="2C560C31" w14:textId="77777777" w:rsidR="00C05C0E" w:rsidRDefault="00C05C0E" w:rsidP="00FA102E">
      <w:pPr>
        <w:spacing w:line="480" w:lineRule="auto"/>
        <w:jc w:val="both"/>
        <w:rPr>
          <w:rFonts w:ascii="Times New Roman" w:hAnsi="Times New Roman"/>
          <w:szCs w:val="24"/>
        </w:rPr>
      </w:pPr>
    </w:p>
    <w:p w14:paraId="38441FBF" w14:textId="77777777" w:rsidR="00C05C0E" w:rsidRDefault="00C05C0E" w:rsidP="00AA233B">
      <w:pPr>
        <w:spacing w:line="480" w:lineRule="auto"/>
        <w:ind w:left="2880" w:firstLine="720"/>
        <w:jc w:val="both"/>
        <w:rPr>
          <w:rFonts w:ascii="Times New Roman" w:hAnsi="Times New Roman"/>
          <w:szCs w:val="24"/>
        </w:rPr>
      </w:pPr>
    </w:p>
    <w:p w14:paraId="3967DB28" w14:textId="77777777" w:rsidR="00C05C0E" w:rsidRDefault="00C05C0E" w:rsidP="00AA233B">
      <w:pPr>
        <w:spacing w:line="480" w:lineRule="auto"/>
        <w:ind w:left="2880" w:firstLine="720"/>
        <w:jc w:val="both"/>
        <w:rPr>
          <w:rFonts w:ascii="Times New Roman" w:hAnsi="Times New Roman"/>
          <w:szCs w:val="24"/>
        </w:rPr>
      </w:pPr>
    </w:p>
    <w:p w14:paraId="62F82544" w14:textId="77777777" w:rsidR="00C05C0E" w:rsidRDefault="00C05C0E" w:rsidP="00AA233B">
      <w:pPr>
        <w:spacing w:line="480" w:lineRule="auto"/>
        <w:ind w:left="2880" w:firstLine="720"/>
        <w:jc w:val="both"/>
        <w:rPr>
          <w:rFonts w:ascii="Times New Roman" w:hAnsi="Times New Roman"/>
          <w:szCs w:val="24"/>
        </w:rPr>
      </w:pPr>
    </w:p>
    <w:p w14:paraId="63B1B7AE" w14:textId="77777777" w:rsidR="00C05C0E" w:rsidRDefault="00C05C0E" w:rsidP="00AA233B">
      <w:pPr>
        <w:spacing w:line="480" w:lineRule="auto"/>
        <w:ind w:left="2880" w:firstLine="720"/>
        <w:jc w:val="both"/>
        <w:rPr>
          <w:rFonts w:ascii="Times New Roman" w:hAnsi="Times New Roman"/>
          <w:szCs w:val="24"/>
        </w:rPr>
      </w:pPr>
    </w:p>
    <w:p w14:paraId="45DEAB8C" w14:textId="77777777" w:rsidR="00C05C0E" w:rsidRDefault="00C05C0E" w:rsidP="00AA233B">
      <w:pPr>
        <w:spacing w:line="480" w:lineRule="auto"/>
        <w:ind w:left="2880" w:firstLine="720"/>
        <w:jc w:val="both"/>
        <w:rPr>
          <w:rFonts w:ascii="Times New Roman" w:hAnsi="Times New Roman"/>
          <w:szCs w:val="24"/>
        </w:rPr>
      </w:pPr>
    </w:p>
    <w:p w14:paraId="4F47FF5B" w14:textId="77777777" w:rsidR="00C05C0E" w:rsidRDefault="00C05C0E" w:rsidP="00AA233B">
      <w:pPr>
        <w:spacing w:line="480" w:lineRule="auto"/>
        <w:ind w:left="2880" w:firstLine="720"/>
        <w:jc w:val="both"/>
        <w:rPr>
          <w:rFonts w:ascii="Times New Roman" w:hAnsi="Times New Roman"/>
          <w:szCs w:val="24"/>
        </w:rPr>
      </w:pPr>
    </w:p>
    <w:p w14:paraId="0BD23747" w14:textId="77777777" w:rsidR="00C05C0E" w:rsidRDefault="00C05C0E" w:rsidP="00AA233B">
      <w:pPr>
        <w:spacing w:line="480" w:lineRule="auto"/>
        <w:ind w:left="2880" w:firstLine="720"/>
        <w:jc w:val="both"/>
        <w:rPr>
          <w:rFonts w:ascii="Times New Roman" w:hAnsi="Times New Roman"/>
          <w:szCs w:val="24"/>
        </w:rPr>
      </w:pPr>
    </w:p>
    <w:p w14:paraId="70824BF0" w14:textId="77777777" w:rsidR="00C05C0E" w:rsidRDefault="00C05C0E" w:rsidP="00AA233B">
      <w:pPr>
        <w:spacing w:line="480" w:lineRule="auto"/>
        <w:ind w:left="2880" w:firstLine="720"/>
        <w:jc w:val="both"/>
        <w:rPr>
          <w:rFonts w:ascii="Times New Roman" w:hAnsi="Times New Roman"/>
          <w:szCs w:val="24"/>
        </w:rPr>
      </w:pPr>
    </w:p>
    <w:p w14:paraId="3BDCBBDA" w14:textId="77777777" w:rsidR="00C05C0E" w:rsidRDefault="00C05C0E" w:rsidP="00AA233B">
      <w:pPr>
        <w:spacing w:line="480" w:lineRule="auto"/>
        <w:ind w:left="2880" w:firstLine="720"/>
        <w:jc w:val="both"/>
        <w:rPr>
          <w:rFonts w:ascii="Times New Roman" w:hAnsi="Times New Roman"/>
          <w:szCs w:val="24"/>
        </w:rPr>
      </w:pPr>
    </w:p>
    <w:p w14:paraId="39489CB5" w14:textId="77777777" w:rsidR="00C05C0E" w:rsidRDefault="00C05C0E" w:rsidP="00AA233B">
      <w:pPr>
        <w:spacing w:line="480" w:lineRule="auto"/>
        <w:ind w:left="2880" w:firstLine="720"/>
        <w:jc w:val="both"/>
        <w:rPr>
          <w:rFonts w:ascii="Times New Roman" w:hAnsi="Times New Roman"/>
          <w:szCs w:val="24"/>
        </w:rPr>
      </w:pPr>
    </w:p>
    <w:p w14:paraId="5FE4B45D" w14:textId="77777777" w:rsidR="00C05C0E" w:rsidRDefault="00C05C0E" w:rsidP="00AA233B">
      <w:pPr>
        <w:spacing w:line="480" w:lineRule="auto"/>
        <w:ind w:left="2880" w:firstLine="720"/>
        <w:jc w:val="both"/>
        <w:rPr>
          <w:rFonts w:ascii="Times New Roman" w:hAnsi="Times New Roman"/>
          <w:szCs w:val="24"/>
        </w:rPr>
      </w:pPr>
    </w:p>
    <w:p w14:paraId="6121D725" w14:textId="77777777" w:rsidR="00C05C0E" w:rsidRDefault="00C05C0E" w:rsidP="00AA233B">
      <w:pPr>
        <w:spacing w:line="480" w:lineRule="auto"/>
        <w:ind w:left="2880" w:firstLine="720"/>
        <w:jc w:val="both"/>
        <w:rPr>
          <w:rFonts w:ascii="Times New Roman" w:hAnsi="Times New Roman"/>
          <w:szCs w:val="24"/>
        </w:rPr>
      </w:pPr>
    </w:p>
    <w:p w14:paraId="5475B74D" w14:textId="77777777" w:rsidR="00C05C0E" w:rsidRDefault="00C05C0E" w:rsidP="00AA233B">
      <w:pPr>
        <w:spacing w:line="480" w:lineRule="auto"/>
        <w:ind w:left="2880" w:firstLine="720"/>
        <w:jc w:val="both"/>
        <w:rPr>
          <w:rFonts w:ascii="Times New Roman" w:hAnsi="Times New Roman"/>
          <w:szCs w:val="24"/>
        </w:rPr>
      </w:pPr>
    </w:p>
    <w:p w14:paraId="5491F41A" w14:textId="77777777" w:rsidR="00C05C0E" w:rsidRDefault="00C05C0E" w:rsidP="00AA233B">
      <w:pPr>
        <w:spacing w:line="480" w:lineRule="auto"/>
        <w:ind w:left="2880" w:firstLine="720"/>
        <w:jc w:val="both"/>
        <w:rPr>
          <w:rFonts w:ascii="Times New Roman" w:hAnsi="Times New Roman"/>
          <w:szCs w:val="24"/>
        </w:rPr>
      </w:pPr>
    </w:p>
    <w:p w14:paraId="22ADBD63" w14:textId="77777777" w:rsidR="00C05C0E" w:rsidRDefault="00C05C0E" w:rsidP="00AA233B">
      <w:pPr>
        <w:spacing w:line="480" w:lineRule="auto"/>
        <w:ind w:left="2880" w:firstLine="720"/>
        <w:jc w:val="both"/>
        <w:rPr>
          <w:rFonts w:ascii="Times New Roman" w:hAnsi="Times New Roman"/>
          <w:szCs w:val="24"/>
        </w:rPr>
      </w:pPr>
    </w:p>
    <w:p w14:paraId="118B6F7F" w14:textId="77777777" w:rsidR="00C05C0E" w:rsidRDefault="00C05C0E" w:rsidP="00AA233B">
      <w:pPr>
        <w:spacing w:line="480" w:lineRule="auto"/>
        <w:ind w:left="2880" w:firstLine="720"/>
        <w:jc w:val="both"/>
        <w:rPr>
          <w:rFonts w:ascii="Times New Roman" w:hAnsi="Times New Roman"/>
          <w:szCs w:val="24"/>
        </w:rPr>
      </w:pPr>
    </w:p>
    <w:p w14:paraId="32A3FCAD" w14:textId="77777777" w:rsidR="00C05C0E" w:rsidRDefault="00C05C0E" w:rsidP="00AA233B">
      <w:pPr>
        <w:spacing w:line="480" w:lineRule="auto"/>
        <w:ind w:left="2880" w:firstLine="720"/>
        <w:jc w:val="both"/>
        <w:rPr>
          <w:rFonts w:ascii="Times New Roman" w:hAnsi="Times New Roman"/>
          <w:szCs w:val="24"/>
        </w:rPr>
      </w:pPr>
    </w:p>
    <w:p w14:paraId="0F1256C5" w14:textId="77777777" w:rsidR="00C05C0E" w:rsidRDefault="00C05C0E" w:rsidP="00AA233B">
      <w:pPr>
        <w:spacing w:line="480" w:lineRule="auto"/>
        <w:ind w:left="2880" w:firstLine="720"/>
        <w:jc w:val="both"/>
        <w:rPr>
          <w:rFonts w:ascii="Times New Roman" w:hAnsi="Times New Roman"/>
          <w:szCs w:val="24"/>
        </w:rPr>
      </w:pPr>
    </w:p>
    <w:p w14:paraId="49E38E75" w14:textId="77777777" w:rsidR="00C05C0E" w:rsidRDefault="00C05C0E" w:rsidP="00AA233B">
      <w:pPr>
        <w:spacing w:line="480" w:lineRule="auto"/>
        <w:ind w:left="2880" w:firstLine="720"/>
        <w:jc w:val="both"/>
        <w:rPr>
          <w:rFonts w:ascii="Times New Roman" w:hAnsi="Times New Roman"/>
          <w:szCs w:val="24"/>
        </w:rPr>
      </w:pPr>
    </w:p>
    <w:p w14:paraId="29208181" w14:textId="4D978C06" w:rsidR="00B32A29" w:rsidRDefault="00EF62CD" w:rsidP="00AA233B">
      <w:pPr>
        <w:spacing w:line="480" w:lineRule="auto"/>
        <w:ind w:left="2880" w:firstLine="720"/>
        <w:jc w:val="both"/>
        <w:rPr>
          <w:rFonts w:ascii="Times New Roman" w:hAnsi="Times New Roman"/>
          <w:szCs w:val="24"/>
        </w:rPr>
      </w:pPr>
      <w:r w:rsidRPr="001A342C">
        <w:rPr>
          <w:rFonts w:ascii="Times New Roman" w:hAnsi="Times New Roman"/>
          <w:szCs w:val="24"/>
        </w:rPr>
        <w:t>References</w:t>
      </w:r>
    </w:p>
    <w:p w14:paraId="5F14E9AF" w14:textId="77777777" w:rsidR="00B32A29" w:rsidRDefault="00B32A29" w:rsidP="00AA233B">
      <w:pPr>
        <w:spacing w:line="480" w:lineRule="auto"/>
        <w:ind w:hanging="720"/>
        <w:rPr>
          <w:rFonts w:ascii="Times New Roman" w:hAnsi="Times New Roman"/>
          <w:szCs w:val="24"/>
        </w:rPr>
      </w:pPr>
      <w:r w:rsidRPr="00B32A29">
        <w:rPr>
          <w:rFonts w:ascii="Times New Roman" w:hAnsi="Times New Roman"/>
          <w:szCs w:val="24"/>
        </w:rPr>
        <w:t xml:space="preserve">Barwise, A., Huschka, T., Woo, C., Egginton, J., Huang, L., Allen, J. S., Johnson, M., Hamm, K., Wolfersteig, W., Phelan, S., &amp; Allyse, M. (2023). Perceptions and Use of Telehealth Among </w:t>
      </w:r>
      <w:r w:rsidRPr="00B32A29">
        <w:rPr>
          <w:rFonts w:ascii="Times New Roman" w:hAnsi="Times New Roman"/>
          <w:szCs w:val="24"/>
        </w:rPr>
        <w:lastRenderedPageBreak/>
        <w:t>Diverse Communities: Multisite Community-Engaged Mixed Methods Study. </w:t>
      </w:r>
      <w:r w:rsidRPr="00B32A29">
        <w:rPr>
          <w:rFonts w:ascii="Times New Roman" w:hAnsi="Times New Roman"/>
          <w:i/>
          <w:iCs/>
          <w:szCs w:val="24"/>
        </w:rPr>
        <w:t>Journal of medical Internet research</w:t>
      </w:r>
      <w:r w:rsidRPr="00B32A29">
        <w:rPr>
          <w:rFonts w:ascii="Times New Roman" w:hAnsi="Times New Roman"/>
          <w:szCs w:val="24"/>
        </w:rPr>
        <w:t>, </w:t>
      </w:r>
      <w:r w:rsidRPr="00B32A29">
        <w:rPr>
          <w:rFonts w:ascii="Times New Roman" w:hAnsi="Times New Roman"/>
          <w:i/>
          <w:iCs/>
          <w:szCs w:val="24"/>
        </w:rPr>
        <w:t>25</w:t>
      </w:r>
      <w:r w:rsidRPr="00B32A29">
        <w:rPr>
          <w:rFonts w:ascii="Times New Roman" w:hAnsi="Times New Roman"/>
          <w:szCs w:val="24"/>
        </w:rPr>
        <w:t>, e44242. https://doi.org/10.2196/44242</w:t>
      </w:r>
    </w:p>
    <w:p w14:paraId="4055C4C7" w14:textId="77777777" w:rsidR="003B6908" w:rsidRDefault="003B6908" w:rsidP="00AA233B">
      <w:pPr>
        <w:spacing w:line="480" w:lineRule="auto"/>
        <w:ind w:hanging="720"/>
        <w:rPr>
          <w:rFonts w:ascii="Times New Roman" w:hAnsi="Times New Roman"/>
          <w:szCs w:val="24"/>
        </w:rPr>
      </w:pPr>
      <w:r w:rsidRPr="003B6908">
        <w:rPr>
          <w:rFonts w:ascii="Times New Roman" w:hAnsi="Times New Roman"/>
          <w:szCs w:val="24"/>
          <w:lang w:val="pt-BR"/>
        </w:rPr>
        <w:t xml:space="preserve">Bhagavathula, A. S., &amp; Aldhaleei, W. A. (2024). </w:t>
      </w:r>
      <w:r w:rsidRPr="003B6908">
        <w:rPr>
          <w:rFonts w:ascii="Times New Roman" w:hAnsi="Times New Roman"/>
          <w:szCs w:val="24"/>
        </w:rPr>
        <w:t>Bridging the Telehealth Divide: Racial and Ethnic Disparities in Medicare Telehealth Usage Highlights the Need for Equity-Focused Approaches. </w:t>
      </w:r>
      <w:r w:rsidRPr="003B6908">
        <w:rPr>
          <w:rFonts w:ascii="Times New Roman" w:hAnsi="Times New Roman"/>
          <w:i/>
          <w:iCs/>
          <w:szCs w:val="24"/>
        </w:rPr>
        <w:t>Telemedicine journal and e-health : the official journal of the American Telemedicine Association</w:t>
      </w:r>
      <w:r w:rsidRPr="003B6908">
        <w:rPr>
          <w:rFonts w:ascii="Times New Roman" w:hAnsi="Times New Roman"/>
          <w:szCs w:val="24"/>
        </w:rPr>
        <w:t>, </w:t>
      </w:r>
      <w:r w:rsidRPr="003B6908">
        <w:rPr>
          <w:rFonts w:ascii="Times New Roman" w:hAnsi="Times New Roman"/>
          <w:i/>
          <w:iCs/>
          <w:szCs w:val="24"/>
        </w:rPr>
        <w:t>30</w:t>
      </w:r>
      <w:r w:rsidRPr="003B6908">
        <w:rPr>
          <w:rFonts w:ascii="Times New Roman" w:hAnsi="Times New Roman"/>
          <w:szCs w:val="24"/>
        </w:rPr>
        <w:t xml:space="preserve">(5), 1272–1278. </w:t>
      </w:r>
      <w:hyperlink r:id="rId16" w:history="1">
        <w:r w:rsidRPr="00546602">
          <w:rPr>
            <w:rStyle w:val="Hyperlink"/>
            <w:rFonts w:ascii="Times New Roman" w:hAnsi="Times New Roman"/>
            <w:szCs w:val="24"/>
          </w:rPr>
          <w:t>https://doi.org/10.1089/tmj.2023.0536</w:t>
        </w:r>
      </w:hyperlink>
    </w:p>
    <w:p w14:paraId="356AD6D8" w14:textId="77777777" w:rsidR="00324701" w:rsidRPr="001D632A" w:rsidRDefault="00324701" w:rsidP="00AA233B">
      <w:pPr>
        <w:spacing w:line="480" w:lineRule="auto"/>
        <w:ind w:hanging="720"/>
        <w:rPr>
          <w:rFonts w:ascii="Times New Roman" w:hAnsi="Times New Roman"/>
          <w:szCs w:val="24"/>
          <w:lang w:val="fr-FR"/>
        </w:rPr>
      </w:pPr>
      <w:r w:rsidRPr="00324701">
        <w:rPr>
          <w:rFonts w:ascii="Times New Roman" w:hAnsi="Times New Roman"/>
          <w:szCs w:val="24"/>
        </w:rPr>
        <w:t>Bogulski, C. A., Pro, G., Acharya, M., Ali, M. M., Brown, C. C., Hayes, C. J., &amp; Eswaran, H. (2025). The association between rurality, dual Medicare/Medicaid eligibility and chronic conditions with telehealth utilization: An analysis of 2019-2020 national Medicare claims. </w:t>
      </w:r>
      <w:r w:rsidRPr="00324701">
        <w:rPr>
          <w:rFonts w:ascii="Times New Roman" w:hAnsi="Times New Roman"/>
          <w:i/>
          <w:iCs/>
          <w:szCs w:val="24"/>
        </w:rPr>
        <w:t>Journal of telemedicine and telecare</w:t>
      </w:r>
      <w:r w:rsidRPr="00324701">
        <w:rPr>
          <w:rFonts w:ascii="Times New Roman" w:hAnsi="Times New Roman"/>
          <w:szCs w:val="24"/>
        </w:rPr>
        <w:t>, </w:t>
      </w:r>
      <w:r w:rsidRPr="00324701">
        <w:rPr>
          <w:rFonts w:ascii="Times New Roman" w:hAnsi="Times New Roman"/>
          <w:i/>
          <w:iCs/>
          <w:szCs w:val="24"/>
        </w:rPr>
        <w:t>31</w:t>
      </w:r>
      <w:r w:rsidRPr="00324701">
        <w:rPr>
          <w:rFonts w:ascii="Times New Roman" w:hAnsi="Times New Roman"/>
          <w:szCs w:val="24"/>
        </w:rPr>
        <w:t xml:space="preserve">(6), 842–852. </w:t>
      </w:r>
      <w:hyperlink r:id="rId17" w:history="1">
        <w:r w:rsidR="001D632A" w:rsidRPr="001D632A">
          <w:rPr>
            <w:rStyle w:val="Hyperlink"/>
            <w:rFonts w:ascii="Times New Roman" w:hAnsi="Times New Roman"/>
            <w:szCs w:val="24"/>
            <w:lang w:val="fr-FR"/>
          </w:rPr>
          <w:t>https://doi.org/10.1177/1357633X241226741</w:t>
        </w:r>
      </w:hyperlink>
    </w:p>
    <w:p w14:paraId="5EC0DA0F" w14:textId="77777777" w:rsidR="001D632A" w:rsidRDefault="001D632A" w:rsidP="00AA233B">
      <w:pPr>
        <w:spacing w:line="480" w:lineRule="auto"/>
        <w:ind w:hanging="720"/>
        <w:rPr>
          <w:rFonts w:ascii="Times New Roman" w:hAnsi="Times New Roman"/>
          <w:szCs w:val="24"/>
        </w:rPr>
      </w:pPr>
      <w:r w:rsidRPr="001D632A">
        <w:rPr>
          <w:rFonts w:ascii="Times New Roman" w:hAnsi="Times New Roman"/>
          <w:szCs w:val="24"/>
          <w:lang w:val="fr-FR"/>
        </w:rPr>
        <w:t xml:space="preserve">Gajarawala, S. N., &amp; Pelkowski, J. N. (2021). </w:t>
      </w:r>
      <w:r w:rsidRPr="001D632A">
        <w:rPr>
          <w:rFonts w:ascii="Times New Roman" w:hAnsi="Times New Roman"/>
          <w:szCs w:val="24"/>
        </w:rPr>
        <w:t>Telehealth Benefits and Barriers. </w:t>
      </w:r>
      <w:r w:rsidRPr="001D632A">
        <w:rPr>
          <w:rFonts w:ascii="Times New Roman" w:hAnsi="Times New Roman"/>
          <w:i/>
          <w:iCs/>
          <w:szCs w:val="24"/>
        </w:rPr>
        <w:t>The journal for nurse practitioners : JNP</w:t>
      </w:r>
      <w:r w:rsidRPr="001D632A">
        <w:rPr>
          <w:rFonts w:ascii="Times New Roman" w:hAnsi="Times New Roman"/>
          <w:szCs w:val="24"/>
        </w:rPr>
        <w:t>, </w:t>
      </w:r>
      <w:r w:rsidRPr="001D632A">
        <w:rPr>
          <w:rFonts w:ascii="Times New Roman" w:hAnsi="Times New Roman"/>
          <w:i/>
          <w:iCs/>
          <w:szCs w:val="24"/>
        </w:rPr>
        <w:t>17</w:t>
      </w:r>
      <w:r w:rsidRPr="001D632A">
        <w:rPr>
          <w:rFonts w:ascii="Times New Roman" w:hAnsi="Times New Roman"/>
          <w:szCs w:val="24"/>
        </w:rPr>
        <w:t xml:space="preserve">(2), 218–221. </w:t>
      </w:r>
      <w:hyperlink r:id="rId18" w:history="1">
        <w:r w:rsidR="00B412FC" w:rsidRPr="00546602">
          <w:rPr>
            <w:rStyle w:val="Hyperlink"/>
            <w:rFonts w:ascii="Times New Roman" w:hAnsi="Times New Roman"/>
            <w:szCs w:val="24"/>
          </w:rPr>
          <w:t>https://doi.org/10.1016/j.nurpra.2020.09.013</w:t>
        </w:r>
      </w:hyperlink>
    </w:p>
    <w:p w14:paraId="277A5721" w14:textId="77777777" w:rsidR="003D7296" w:rsidRDefault="00B412FC" w:rsidP="00AA233B">
      <w:pPr>
        <w:spacing w:line="480" w:lineRule="auto"/>
        <w:ind w:hanging="720"/>
        <w:rPr>
          <w:rFonts w:ascii="Times New Roman" w:hAnsi="Times New Roman"/>
          <w:szCs w:val="24"/>
        </w:rPr>
      </w:pPr>
      <w:r w:rsidRPr="00B412FC">
        <w:rPr>
          <w:rFonts w:ascii="Times New Roman" w:hAnsi="Times New Roman"/>
          <w:szCs w:val="24"/>
        </w:rPr>
        <w:t>Garcia-Castañeda, Jose M., "EXPLORING THE FACTORS THAT INFLUENCE TELEHEALTH USAGE AMONG IMMIGRANTS IN THE UNITED STATES: A MIXED METHODS STUDY" (2025). </w:t>
      </w:r>
      <w:r w:rsidRPr="00B412FC">
        <w:rPr>
          <w:rFonts w:ascii="Times New Roman" w:hAnsi="Times New Roman"/>
          <w:i/>
          <w:iCs/>
          <w:szCs w:val="24"/>
        </w:rPr>
        <w:t>Electronic Theses, Projects, and Dissertations</w:t>
      </w:r>
      <w:r w:rsidRPr="00B412FC">
        <w:rPr>
          <w:rFonts w:ascii="Times New Roman" w:hAnsi="Times New Roman"/>
          <w:szCs w:val="24"/>
        </w:rPr>
        <w:t>. 2234.</w:t>
      </w:r>
      <w:r w:rsidRPr="00B412FC">
        <w:rPr>
          <w:rFonts w:ascii="Times New Roman" w:hAnsi="Times New Roman"/>
          <w:szCs w:val="24"/>
        </w:rPr>
        <w:br/>
      </w:r>
      <w:hyperlink r:id="rId19" w:history="1">
        <w:r w:rsidR="003D7296" w:rsidRPr="00546602">
          <w:rPr>
            <w:rStyle w:val="Hyperlink"/>
            <w:rFonts w:ascii="Times New Roman" w:hAnsi="Times New Roman"/>
            <w:szCs w:val="24"/>
          </w:rPr>
          <w:t>https://scholarworks.lib.csusb.edu/etd/2234</w:t>
        </w:r>
      </w:hyperlink>
    </w:p>
    <w:p w14:paraId="1B6D5320" w14:textId="77777777" w:rsidR="00AA233B" w:rsidRDefault="00AA233B" w:rsidP="00AA233B">
      <w:pPr>
        <w:spacing w:line="480" w:lineRule="auto"/>
        <w:ind w:hanging="720"/>
        <w:rPr>
          <w:rFonts w:ascii="Times New Roman" w:hAnsi="Times New Roman"/>
          <w:szCs w:val="24"/>
        </w:rPr>
      </w:pPr>
      <w:r w:rsidRPr="00AA233B">
        <w:rPr>
          <w:rFonts w:ascii="Times New Roman" w:hAnsi="Times New Roman"/>
          <w:szCs w:val="24"/>
        </w:rPr>
        <w:t>Samuels-Kalow, M. E., Chary, A. N., Ciccolo, G., Apro, A., Danaher, F., Lambert, R., Camargo, C. A., Jr, &amp; Zachrison, K. S. (2024). Barriers and facilitators to pediatric telehealth use in English- and Spanish-speaking families: A qualitative study. </w:t>
      </w:r>
      <w:r w:rsidRPr="00AA233B">
        <w:rPr>
          <w:rFonts w:ascii="Times New Roman" w:hAnsi="Times New Roman"/>
          <w:i/>
          <w:iCs/>
          <w:szCs w:val="24"/>
        </w:rPr>
        <w:t>Journal of telemedicine and telecare</w:t>
      </w:r>
      <w:r w:rsidRPr="00AA233B">
        <w:rPr>
          <w:rFonts w:ascii="Times New Roman" w:hAnsi="Times New Roman"/>
          <w:szCs w:val="24"/>
        </w:rPr>
        <w:t>, </w:t>
      </w:r>
      <w:r w:rsidRPr="00AA233B">
        <w:rPr>
          <w:rFonts w:ascii="Times New Roman" w:hAnsi="Times New Roman"/>
          <w:i/>
          <w:iCs/>
          <w:szCs w:val="24"/>
        </w:rPr>
        <w:t>30</w:t>
      </w:r>
      <w:r w:rsidRPr="00AA233B">
        <w:rPr>
          <w:rFonts w:ascii="Times New Roman" w:hAnsi="Times New Roman"/>
          <w:szCs w:val="24"/>
        </w:rPr>
        <w:t>(3), 527–537. https://doi.org/10.1177/1357633X211070725</w:t>
      </w:r>
    </w:p>
    <w:p w14:paraId="4C1AA6B3" w14:textId="77777777" w:rsidR="00555EA5" w:rsidRDefault="00E06FBE" w:rsidP="00AA233B">
      <w:pPr>
        <w:spacing w:line="480" w:lineRule="auto"/>
        <w:ind w:hanging="720"/>
        <w:rPr>
          <w:rFonts w:ascii="Times New Roman" w:hAnsi="Times New Roman"/>
          <w:szCs w:val="24"/>
        </w:rPr>
      </w:pPr>
      <w:r w:rsidRPr="00E06FBE">
        <w:rPr>
          <w:rFonts w:ascii="Times New Roman" w:hAnsi="Times New Roman"/>
          <w:szCs w:val="24"/>
        </w:rPr>
        <w:t xml:space="preserve">Shah, D. A., Sall, D., Peng, W., Sharer, R., Essary, A. C., &amp; Radhakrishnan, P. (2024). Exploring the role of telehealth in providing equitable healthcare to the vulnerable patient population during </w:t>
      </w:r>
      <w:r w:rsidRPr="00E06FBE">
        <w:rPr>
          <w:rFonts w:ascii="Times New Roman" w:hAnsi="Times New Roman"/>
          <w:szCs w:val="24"/>
        </w:rPr>
        <w:lastRenderedPageBreak/>
        <w:t>COVID-19. </w:t>
      </w:r>
      <w:r w:rsidRPr="00E06FBE">
        <w:rPr>
          <w:rFonts w:ascii="Times New Roman" w:hAnsi="Times New Roman"/>
          <w:i/>
          <w:iCs/>
          <w:szCs w:val="24"/>
        </w:rPr>
        <w:t>Journal of telemedicine and telecare</w:t>
      </w:r>
      <w:r w:rsidRPr="00E06FBE">
        <w:rPr>
          <w:rFonts w:ascii="Times New Roman" w:hAnsi="Times New Roman"/>
          <w:szCs w:val="24"/>
        </w:rPr>
        <w:t>, </w:t>
      </w:r>
      <w:r w:rsidRPr="00E06FBE">
        <w:rPr>
          <w:rFonts w:ascii="Times New Roman" w:hAnsi="Times New Roman"/>
          <w:i/>
          <w:iCs/>
          <w:szCs w:val="24"/>
        </w:rPr>
        <w:t>30</w:t>
      </w:r>
      <w:r w:rsidRPr="00E06FBE">
        <w:rPr>
          <w:rFonts w:ascii="Times New Roman" w:hAnsi="Times New Roman"/>
          <w:szCs w:val="24"/>
        </w:rPr>
        <w:t xml:space="preserve">(6), 1047–1050. </w:t>
      </w:r>
      <w:hyperlink r:id="rId20" w:history="1">
        <w:r w:rsidRPr="00546602">
          <w:rPr>
            <w:rStyle w:val="Hyperlink"/>
            <w:rFonts w:ascii="Times New Roman" w:hAnsi="Times New Roman"/>
            <w:szCs w:val="24"/>
          </w:rPr>
          <w:t>https://doi.org/10.1177/1357633X221113711</w:t>
        </w:r>
      </w:hyperlink>
    </w:p>
    <w:p w14:paraId="357A0415" w14:textId="77777777" w:rsidR="00AA233B" w:rsidRDefault="00AA233B" w:rsidP="00AA233B">
      <w:pPr>
        <w:spacing w:line="480" w:lineRule="auto"/>
        <w:ind w:hanging="720"/>
        <w:rPr>
          <w:rFonts w:ascii="Times New Roman" w:hAnsi="Times New Roman"/>
          <w:szCs w:val="24"/>
        </w:rPr>
      </w:pPr>
    </w:p>
    <w:p w14:paraId="24FB786A" w14:textId="77777777" w:rsidR="00E06FBE" w:rsidRPr="000D3D5B" w:rsidRDefault="00E06FBE" w:rsidP="00AA233B">
      <w:pPr>
        <w:spacing w:line="480" w:lineRule="auto"/>
        <w:ind w:left="720" w:hanging="720"/>
        <w:rPr>
          <w:rFonts w:ascii="Times New Roman" w:hAnsi="Times New Roman"/>
          <w:szCs w:val="24"/>
        </w:rPr>
      </w:pPr>
    </w:p>
    <w:sectPr w:rsidR="00E06FBE" w:rsidRPr="000D3D5B" w:rsidSect="00DD58D2">
      <w:headerReference w:type="default" r:id="rId21"/>
      <w:pgSz w:w="12240" w:h="15840" w:code="1"/>
      <w:pgMar w:top="1440" w:right="1440" w:bottom="1440" w:left="1440" w:header="720" w:footer="720" w:gutter="0"/>
      <w:pgNumType w:start="2"/>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F14AE" w14:textId="77777777" w:rsidR="000F0F4B" w:rsidRDefault="000F0F4B">
      <w:r>
        <w:separator/>
      </w:r>
    </w:p>
  </w:endnote>
  <w:endnote w:type="continuationSeparator" w:id="0">
    <w:p w14:paraId="5578A0F8" w14:textId="77777777" w:rsidR="000F0F4B" w:rsidRDefault="000F0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35584" w14:textId="77777777" w:rsidR="000F0F4B" w:rsidRDefault="000F0F4B">
      <w:r>
        <w:separator/>
      </w:r>
    </w:p>
  </w:footnote>
  <w:footnote w:type="continuationSeparator" w:id="0">
    <w:p w14:paraId="5381EC9C" w14:textId="77777777" w:rsidR="000F0F4B" w:rsidRDefault="000F0F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701C6" w14:textId="77777777" w:rsidR="00B10D41" w:rsidRDefault="00B10D41" w:rsidP="004D304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ADBBC7A" w14:textId="77777777" w:rsidR="00B10D41" w:rsidRDefault="00B10D41" w:rsidP="00DC3C6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2AC7E" w14:textId="77777777" w:rsidR="00B10D41" w:rsidRDefault="00B10D41" w:rsidP="00DC3C69">
    <w:pPr>
      <w:pStyle w:val="Header"/>
      <w:framePr w:wrap="around" w:vAnchor="text" w:hAnchor="margin" w:xAlign="right"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Pr>
        <w:rStyle w:val="PageNumber"/>
        <w:rFonts w:ascii="Times New Roman" w:hAnsi="Times New Roman"/>
        <w:noProof/>
      </w:rPr>
      <w:t>1</w:t>
    </w:r>
    <w:r>
      <w:rPr>
        <w:rStyle w:val="PageNumber"/>
        <w:rFonts w:ascii="Times New Roman" w:hAnsi="Times New Roman"/>
      </w:rPr>
      <w:fldChar w:fldCharType="end"/>
    </w:r>
  </w:p>
  <w:p w14:paraId="44B059B4" w14:textId="77777777" w:rsidR="00B10D41" w:rsidRPr="00DC3C69" w:rsidRDefault="00B10D41" w:rsidP="00234456">
    <w:pPr>
      <w:pStyle w:val="Header"/>
      <w:tabs>
        <w:tab w:val="clear" w:pos="4320"/>
        <w:tab w:val="clear" w:pos="8640"/>
        <w:tab w:val="center" w:pos="4500"/>
      </w:tabs>
      <w:ind w:right="360"/>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E1422" w14:textId="77777777" w:rsidR="00B10D41" w:rsidRDefault="00B10D41" w:rsidP="00DC3C69">
    <w:pPr>
      <w:pStyle w:val="Header"/>
      <w:tabs>
        <w:tab w:val="clear" w:pos="4320"/>
        <w:tab w:val="clear" w:pos="8640"/>
      </w:tabs>
      <w:spacing w:line="480" w:lineRule="auto"/>
      <w:rPr>
        <w:rFonts w:ascii="Times New Roman" w:hAnsi="Times New Roman"/>
      </w:rPr>
    </w:pPr>
    <w:r>
      <w:rPr>
        <w:rFonts w:ascii="Times New Roman" w:hAnsi="Times New Roman"/>
      </w:rPr>
      <w:t xml:space="preserve">Running head: ASSIGNMENT TITLE HERE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94A3F" w14:textId="77777777" w:rsidR="00C57C3A" w:rsidRDefault="00C57C3A" w:rsidP="00DC3C69">
    <w:pPr>
      <w:pStyle w:val="Header"/>
      <w:framePr w:wrap="around" w:vAnchor="text" w:hAnchor="margin" w:xAlign="right"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BB7F50">
      <w:rPr>
        <w:rStyle w:val="PageNumber"/>
        <w:rFonts w:ascii="Times New Roman" w:hAnsi="Times New Roman"/>
        <w:noProof/>
      </w:rPr>
      <w:t>5</w:t>
    </w:r>
    <w:r>
      <w:rPr>
        <w:rStyle w:val="PageNumber"/>
        <w:rFonts w:ascii="Times New Roman" w:hAnsi="Times New Roman"/>
      </w:rPr>
      <w:fldChar w:fldCharType="end"/>
    </w:r>
  </w:p>
  <w:p w14:paraId="42123664" w14:textId="77777777" w:rsidR="00C57C3A" w:rsidRPr="00DC3C69" w:rsidRDefault="00C57C3A" w:rsidP="00234456">
    <w:pPr>
      <w:pStyle w:val="Header"/>
      <w:tabs>
        <w:tab w:val="clear" w:pos="4320"/>
        <w:tab w:val="clear" w:pos="8640"/>
        <w:tab w:val="center" w:pos="4500"/>
      </w:tabs>
      <w:ind w:right="360"/>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3475F0"/>
    <w:multiLevelType w:val="multilevel"/>
    <w:tmpl w:val="922AF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B5579EA"/>
    <w:multiLevelType w:val="multilevel"/>
    <w:tmpl w:val="D4C63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E37775A"/>
    <w:multiLevelType w:val="multilevel"/>
    <w:tmpl w:val="1AC8A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08420246">
    <w:abstractNumId w:val="2"/>
  </w:num>
  <w:num w:numId="2" w16cid:durableId="1560628453">
    <w:abstractNumId w:val="1"/>
  </w:num>
  <w:num w:numId="3" w16cid:durableId="1487866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002"/>
    <w:rsid w:val="00003B6A"/>
    <w:rsid w:val="000113AE"/>
    <w:rsid w:val="000119A9"/>
    <w:rsid w:val="00032BCC"/>
    <w:rsid w:val="00033A95"/>
    <w:rsid w:val="00050408"/>
    <w:rsid w:val="00055490"/>
    <w:rsid w:val="0006376C"/>
    <w:rsid w:val="00064369"/>
    <w:rsid w:val="00070DD7"/>
    <w:rsid w:val="00076542"/>
    <w:rsid w:val="00077638"/>
    <w:rsid w:val="0009045D"/>
    <w:rsid w:val="000904B4"/>
    <w:rsid w:val="000954E7"/>
    <w:rsid w:val="000A2EAE"/>
    <w:rsid w:val="000A6A8B"/>
    <w:rsid w:val="000B108C"/>
    <w:rsid w:val="000B4A7D"/>
    <w:rsid w:val="000C23AE"/>
    <w:rsid w:val="000C6901"/>
    <w:rsid w:val="000D06D9"/>
    <w:rsid w:val="000D3D5B"/>
    <w:rsid w:val="000F0F4B"/>
    <w:rsid w:val="000F2668"/>
    <w:rsid w:val="000F38DF"/>
    <w:rsid w:val="000F3AE2"/>
    <w:rsid w:val="000F54CA"/>
    <w:rsid w:val="00100F63"/>
    <w:rsid w:val="00103AF1"/>
    <w:rsid w:val="00104815"/>
    <w:rsid w:val="001050FA"/>
    <w:rsid w:val="00112BD4"/>
    <w:rsid w:val="001304E1"/>
    <w:rsid w:val="00130E17"/>
    <w:rsid w:val="001315D3"/>
    <w:rsid w:val="00145462"/>
    <w:rsid w:val="0014613A"/>
    <w:rsid w:val="00161298"/>
    <w:rsid w:val="00162720"/>
    <w:rsid w:val="00162E95"/>
    <w:rsid w:val="00175319"/>
    <w:rsid w:val="001A00F2"/>
    <w:rsid w:val="001A19B5"/>
    <w:rsid w:val="001A1FC9"/>
    <w:rsid w:val="001A342C"/>
    <w:rsid w:val="001B1E3C"/>
    <w:rsid w:val="001B3EA5"/>
    <w:rsid w:val="001D23DF"/>
    <w:rsid w:val="001D4DBE"/>
    <w:rsid w:val="001D632A"/>
    <w:rsid w:val="001E3989"/>
    <w:rsid w:val="00201EAC"/>
    <w:rsid w:val="002051B3"/>
    <w:rsid w:val="00205959"/>
    <w:rsid w:val="00217CD1"/>
    <w:rsid w:val="00222249"/>
    <w:rsid w:val="00224ED4"/>
    <w:rsid w:val="00234456"/>
    <w:rsid w:val="00240D3B"/>
    <w:rsid w:val="00264535"/>
    <w:rsid w:val="0028106A"/>
    <w:rsid w:val="0028189D"/>
    <w:rsid w:val="00290F40"/>
    <w:rsid w:val="00293D87"/>
    <w:rsid w:val="002A6A48"/>
    <w:rsid w:val="002A7931"/>
    <w:rsid w:val="002B5D2F"/>
    <w:rsid w:val="002C7B5E"/>
    <w:rsid w:val="002D08B1"/>
    <w:rsid w:val="002E6564"/>
    <w:rsid w:val="002F0B29"/>
    <w:rsid w:val="002F349A"/>
    <w:rsid w:val="00311BDA"/>
    <w:rsid w:val="003160BD"/>
    <w:rsid w:val="00320896"/>
    <w:rsid w:val="0032177F"/>
    <w:rsid w:val="003223CA"/>
    <w:rsid w:val="00324701"/>
    <w:rsid w:val="00337D20"/>
    <w:rsid w:val="0035053D"/>
    <w:rsid w:val="00356D32"/>
    <w:rsid w:val="003578E3"/>
    <w:rsid w:val="00361AFC"/>
    <w:rsid w:val="00395666"/>
    <w:rsid w:val="003A1449"/>
    <w:rsid w:val="003A4AAC"/>
    <w:rsid w:val="003A76E3"/>
    <w:rsid w:val="003B6908"/>
    <w:rsid w:val="003C4D98"/>
    <w:rsid w:val="003C75D0"/>
    <w:rsid w:val="003D3F7D"/>
    <w:rsid w:val="003D6E4E"/>
    <w:rsid w:val="003D7296"/>
    <w:rsid w:val="003E7822"/>
    <w:rsid w:val="003F07C8"/>
    <w:rsid w:val="003F37B2"/>
    <w:rsid w:val="003F3EAB"/>
    <w:rsid w:val="003F67C6"/>
    <w:rsid w:val="00400332"/>
    <w:rsid w:val="004005C5"/>
    <w:rsid w:val="0040156C"/>
    <w:rsid w:val="00405087"/>
    <w:rsid w:val="0041174B"/>
    <w:rsid w:val="0041720D"/>
    <w:rsid w:val="0043013C"/>
    <w:rsid w:val="004308F4"/>
    <w:rsid w:val="0043563A"/>
    <w:rsid w:val="00436CA6"/>
    <w:rsid w:val="004371AB"/>
    <w:rsid w:val="00437460"/>
    <w:rsid w:val="004378AB"/>
    <w:rsid w:val="00446854"/>
    <w:rsid w:val="00452B1F"/>
    <w:rsid w:val="00456572"/>
    <w:rsid w:val="004572D9"/>
    <w:rsid w:val="00470B0D"/>
    <w:rsid w:val="0047217B"/>
    <w:rsid w:val="004757F7"/>
    <w:rsid w:val="004902B9"/>
    <w:rsid w:val="004A4919"/>
    <w:rsid w:val="004A77FA"/>
    <w:rsid w:val="004B4E08"/>
    <w:rsid w:val="004C26A8"/>
    <w:rsid w:val="004D3041"/>
    <w:rsid w:val="004D796B"/>
    <w:rsid w:val="004E46FD"/>
    <w:rsid w:val="004E4C9B"/>
    <w:rsid w:val="004F22BF"/>
    <w:rsid w:val="004F39BD"/>
    <w:rsid w:val="005178AC"/>
    <w:rsid w:val="00521DC1"/>
    <w:rsid w:val="005257C6"/>
    <w:rsid w:val="00537506"/>
    <w:rsid w:val="00542896"/>
    <w:rsid w:val="00555EA5"/>
    <w:rsid w:val="00562B97"/>
    <w:rsid w:val="005654B1"/>
    <w:rsid w:val="00565C68"/>
    <w:rsid w:val="00567848"/>
    <w:rsid w:val="00570DE2"/>
    <w:rsid w:val="0057288C"/>
    <w:rsid w:val="00572DCD"/>
    <w:rsid w:val="00581503"/>
    <w:rsid w:val="005855EB"/>
    <w:rsid w:val="005856D1"/>
    <w:rsid w:val="00585736"/>
    <w:rsid w:val="005A0EBF"/>
    <w:rsid w:val="005A109C"/>
    <w:rsid w:val="005A46AD"/>
    <w:rsid w:val="005A69A4"/>
    <w:rsid w:val="005B3002"/>
    <w:rsid w:val="005C2790"/>
    <w:rsid w:val="005C34D0"/>
    <w:rsid w:val="005C4330"/>
    <w:rsid w:val="005C4A83"/>
    <w:rsid w:val="005D1B22"/>
    <w:rsid w:val="005D30AC"/>
    <w:rsid w:val="005E1FCC"/>
    <w:rsid w:val="005E24B8"/>
    <w:rsid w:val="005E6688"/>
    <w:rsid w:val="005F06DB"/>
    <w:rsid w:val="005F4ADE"/>
    <w:rsid w:val="005F5586"/>
    <w:rsid w:val="00600D6B"/>
    <w:rsid w:val="0060597C"/>
    <w:rsid w:val="00611300"/>
    <w:rsid w:val="00616378"/>
    <w:rsid w:val="00626D76"/>
    <w:rsid w:val="00640153"/>
    <w:rsid w:val="006453E6"/>
    <w:rsid w:val="00662A6E"/>
    <w:rsid w:val="00663134"/>
    <w:rsid w:val="00666166"/>
    <w:rsid w:val="00677E75"/>
    <w:rsid w:val="00683FA9"/>
    <w:rsid w:val="006A23C6"/>
    <w:rsid w:val="006A7FD1"/>
    <w:rsid w:val="006B717D"/>
    <w:rsid w:val="006C1C51"/>
    <w:rsid w:val="006D074D"/>
    <w:rsid w:val="006F6C2C"/>
    <w:rsid w:val="00707B77"/>
    <w:rsid w:val="00730190"/>
    <w:rsid w:val="007328F8"/>
    <w:rsid w:val="00743E70"/>
    <w:rsid w:val="00746016"/>
    <w:rsid w:val="0075324E"/>
    <w:rsid w:val="0076009A"/>
    <w:rsid w:val="007615FE"/>
    <w:rsid w:val="00767B86"/>
    <w:rsid w:val="00772927"/>
    <w:rsid w:val="00793E9E"/>
    <w:rsid w:val="00794CA9"/>
    <w:rsid w:val="007A445C"/>
    <w:rsid w:val="007B0CF2"/>
    <w:rsid w:val="007B35DB"/>
    <w:rsid w:val="007B648A"/>
    <w:rsid w:val="007C0C0A"/>
    <w:rsid w:val="007C0EDD"/>
    <w:rsid w:val="007D42D4"/>
    <w:rsid w:val="007E1DA7"/>
    <w:rsid w:val="007E20F7"/>
    <w:rsid w:val="007E6EEE"/>
    <w:rsid w:val="00812B88"/>
    <w:rsid w:val="00820774"/>
    <w:rsid w:val="0083741B"/>
    <w:rsid w:val="00845784"/>
    <w:rsid w:val="00851985"/>
    <w:rsid w:val="00852FCD"/>
    <w:rsid w:val="00865F5F"/>
    <w:rsid w:val="008714D9"/>
    <w:rsid w:val="00874E49"/>
    <w:rsid w:val="00880EFA"/>
    <w:rsid w:val="00885293"/>
    <w:rsid w:val="0088597D"/>
    <w:rsid w:val="008A0746"/>
    <w:rsid w:val="008B39C2"/>
    <w:rsid w:val="008B7231"/>
    <w:rsid w:val="008C0CC6"/>
    <w:rsid w:val="008C21E7"/>
    <w:rsid w:val="008C3354"/>
    <w:rsid w:val="008C53DB"/>
    <w:rsid w:val="008C5AE3"/>
    <w:rsid w:val="008D5028"/>
    <w:rsid w:val="008D73F2"/>
    <w:rsid w:val="008D7748"/>
    <w:rsid w:val="008E52A4"/>
    <w:rsid w:val="008F680E"/>
    <w:rsid w:val="00905DF3"/>
    <w:rsid w:val="00906D1A"/>
    <w:rsid w:val="0090DAC5"/>
    <w:rsid w:val="00911D00"/>
    <w:rsid w:val="00915ECE"/>
    <w:rsid w:val="00921422"/>
    <w:rsid w:val="00926641"/>
    <w:rsid w:val="00942CFB"/>
    <w:rsid w:val="0095293E"/>
    <w:rsid w:val="0096269B"/>
    <w:rsid w:val="00966550"/>
    <w:rsid w:val="00966E04"/>
    <w:rsid w:val="00975A9A"/>
    <w:rsid w:val="00980498"/>
    <w:rsid w:val="0098272E"/>
    <w:rsid w:val="009A7176"/>
    <w:rsid w:val="009C12C1"/>
    <w:rsid w:val="009D0D8D"/>
    <w:rsid w:val="009E453E"/>
    <w:rsid w:val="009E5873"/>
    <w:rsid w:val="009E6380"/>
    <w:rsid w:val="009F437C"/>
    <w:rsid w:val="009F4405"/>
    <w:rsid w:val="009F67B7"/>
    <w:rsid w:val="00A05680"/>
    <w:rsid w:val="00A215DD"/>
    <w:rsid w:val="00A54F1F"/>
    <w:rsid w:val="00A603EF"/>
    <w:rsid w:val="00A605E7"/>
    <w:rsid w:val="00A75304"/>
    <w:rsid w:val="00A762E7"/>
    <w:rsid w:val="00A8109D"/>
    <w:rsid w:val="00A8238D"/>
    <w:rsid w:val="00AA233B"/>
    <w:rsid w:val="00AA3A09"/>
    <w:rsid w:val="00AC3D12"/>
    <w:rsid w:val="00AC3E3B"/>
    <w:rsid w:val="00AD11D9"/>
    <w:rsid w:val="00AE22AA"/>
    <w:rsid w:val="00AE3766"/>
    <w:rsid w:val="00AE570E"/>
    <w:rsid w:val="00B053D6"/>
    <w:rsid w:val="00B10D41"/>
    <w:rsid w:val="00B20C40"/>
    <w:rsid w:val="00B2181C"/>
    <w:rsid w:val="00B2753A"/>
    <w:rsid w:val="00B319C5"/>
    <w:rsid w:val="00B32A29"/>
    <w:rsid w:val="00B412FC"/>
    <w:rsid w:val="00B42581"/>
    <w:rsid w:val="00B52A30"/>
    <w:rsid w:val="00B621A5"/>
    <w:rsid w:val="00B64719"/>
    <w:rsid w:val="00B71278"/>
    <w:rsid w:val="00B735A9"/>
    <w:rsid w:val="00B7384F"/>
    <w:rsid w:val="00B761F7"/>
    <w:rsid w:val="00B766C3"/>
    <w:rsid w:val="00B83275"/>
    <w:rsid w:val="00B83813"/>
    <w:rsid w:val="00B83D9D"/>
    <w:rsid w:val="00BA4811"/>
    <w:rsid w:val="00BA4BEC"/>
    <w:rsid w:val="00BB01B3"/>
    <w:rsid w:val="00BB54B8"/>
    <w:rsid w:val="00BB7F50"/>
    <w:rsid w:val="00BC0CE6"/>
    <w:rsid w:val="00BC5E49"/>
    <w:rsid w:val="00BD2A3A"/>
    <w:rsid w:val="00BD39AD"/>
    <w:rsid w:val="00BD40B5"/>
    <w:rsid w:val="00BE10FA"/>
    <w:rsid w:val="00BE2BC2"/>
    <w:rsid w:val="00BE52E1"/>
    <w:rsid w:val="00BE5792"/>
    <w:rsid w:val="00BE716D"/>
    <w:rsid w:val="00BE74A7"/>
    <w:rsid w:val="00C016FA"/>
    <w:rsid w:val="00C01FC4"/>
    <w:rsid w:val="00C05C0E"/>
    <w:rsid w:val="00C11EB3"/>
    <w:rsid w:val="00C23F1D"/>
    <w:rsid w:val="00C40592"/>
    <w:rsid w:val="00C41211"/>
    <w:rsid w:val="00C434B3"/>
    <w:rsid w:val="00C5278C"/>
    <w:rsid w:val="00C54A3D"/>
    <w:rsid w:val="00C57C3A"/>
    <w:rsid w:val="00C63613"/>
    <w:rsid w:val="00C65A76"/>
    <w:rsid w:val="00C74FC3"/>
    <w:rsid w:val="00C825D5"/>
    <w:rsid w:val="00C92978"/>
    <w:rsid w:val="00C932A7"/>
    <w:rsid w:val="00C9345B"/>
    <w:rsid w:val="00C9541A"/>
    <w:rsid w:val="00C95490"/>
    <w:rsid w:val="00CA0556"/>
    <w:rsid w:val="00CA5F87"/>
    <w:rsid w:val="00CC7339"/>
    <w:rsid w:val="00CD43BF"/>
    <w:rsid w:val="00CE50DC"/>
    <w:rsid w:val="00CE7AB3"/>
    <w:rsid w:val="00D01CB0"/>
    <w:rsid w:val="00D12630"/>
    <w:rsid w:val="00D1758F"/>
    <w:rsid w:val="00D17B23"/>
    <w:rsid w:val="00D305B3"/>
    <w:rsid w:val="00D4136D"/>
    <w:rsid w:val="00D41CB6"/>
    <w:rsid w:val="00D56D68"/>
    <w:rsid w:val="00D7219C"/>
    <w:rsid w:val="00D72DCF"/>
    <w:rsid w:val="00D73061"/>
    <w:rsid w:val="00D7565D"/>
    <w:rsid w:val="00D774DB"/>
    <w:rsid w:val="00D77FAA"/>
    <w:rsid w:val="00D82781"/>
    <w:rsid w:val="00D82C6B"/>
    <w:rsid w:val="00D87D08"/>
    <w:rsid w:val="00D925B3"/>
    <w:rsid w:val="00DA127F"/>
    <w:rsid w:val="00DB6246"/>
    <w:rsid w:val="00DC3C69"/>
    <w:rsid w:val="00DC452C"/>
    <w:rsid w:val="00DC6B51"/>
    <w:rsid w:val="00DD17E0"/>
    <w:rsid w:val="00DD1B71"/>
    <w:rsid w:val="00DD331D"/>
    <w:rsid w:val="00DD4B51"/>
    <w:rsid w:val="00DD58D2"/>
    <w:rsid w:val="00DE0D4D"/>
    <w:rsid w:val="00DE32EA"/>
    <w:rsid w:val="00DE37B2"/>
    <w:rsid w:val="00DE3BE0"/>
    <w:rsid w:val="00DE4CBF"/>
    <w:rsid w:val="00DF098F"/>
    <w:rsid w:val="00DF112A"/>
    <w:rsid w:val="00DF36E9"/>
    <w:rsid w:val="00DF7354"/>
    <w:rsid w:val="00E06FBE"/>
    <w:rsid w:val="00E11C49"/>
    <w:rsid w:val="00E14F80"/>
    <w:rsid w:val="00E264B7"/>
    <w:rsid w:val="00E34F78"/>
    <w:rsid w:val="00E42125"/>
    <w:rsid w:val="00E50224"/>
    <w:rsid w:val="00E51152"/>
    <w:rsid w:val="00E51265"/>
    <w:rsid w:val="00E61781"/>
    <w:rsid w:val="00E62503"/>
    <w:rsid w:val="00E95CC8"/>
    <w:rsid w:val="00EA0D2B"/>
    <w:rsid w:val="00EA5779"/>
    <w:rsid w:val="00EA64F0"/>
    <w:rsid w:val="00EA66CD"/>
    <w:rsid w:val="00EB669A"/>
    <w:rsid w:val="00EB6B7D"/>
    <w:rsid w:val="00EC067F"/>
    <w:rsid w:val="00EC0BE3"/>
    <w:rsid w:val="00EC4560"/>
    <w:rsid w:val="00EC52C1"/>
    <w:rsid w:val="00EE4447"/>
    <w:rsid w:val="00EE6EE0"/>
    <w:rsid w:val="00EF0066"/>
    <w:rsid w:val="00EF62CD"/>
    <w:rsid w:val="00F07842"/>
    <w:rsid w:val="00F14C25"/>
    <w:rsid w:val="00F260E2"/>
    <w:rsid w:val="00F35DBB"/>
    <w:rsid w:val="00F36AB7"/>
    <w:rsid w:val="00F42A68"/>
    <w:rsid w:val="00F5453A"/>
    <w:rsid w:val="00F640F9"/>
    <w:rsid w:val="00F6591D"/>
    <w:rsid w:val="00F75A5B"/>
    <w:rsid w:val="00F9222E"/>
    <w:rsid w:val="00F95CDC"/>
    <w:rsid w:val="00FA102E"/>
    <w:rsid w:val="00FA4389"/>
    <w:rsid w:val="00FA5690"/>
    <w:rsid w:val="00FA6460"/>
    <w:rsid w:val="00FB7CFE"/>
    <w:rsid w:val="00FC2821"/>
    <w:rsid w:val="00FC51DB"/>
    <w:rsid w:val="00FD139E"/>
    <w:rsid w:val="00FF0524"/>
    <w:rsid w:val="00FF12FC"/>
    <w:rsid w:val="0108EBB9"/>
    <w:rsid w:val="012794BF"/>
    <w:rsid w:val="012EAC69"/>
    <w:rsid w:val="0147D4C6"/>
    <w:rsid w:val="0174096D"/>
    <w:rsid w:val="01946C36"/>
    <w:rsid w:val="020A9E62"/>
    <w:rsid w:val="022CAB26"/>
    <w:rsid w:val="026AEFF7"/>
    <w:rsid w:val="028089B9"/>
    <w:rsid w:val="0290E909"/>
    <w:rsid w:val="02A24490"/>
    <w:rsid w:val="034BF3F5"/>
    <w:rsid w:val="039A40E5"/>
    <w:rsid w:val="03CBBFF7"/>
    <w:rsid w:val="040E6E92"/>
    <w:rsid w:val="045F3581"/>
    <w:rsid w:val="04CC0CF8"/>
    <w:rsid w:val="053D5BEC"/>
    <w:rsid w:val="05644BE8"/>
    <w:rsid w:val="0581AA43"/>
    <w:rsid w:val="05FB05E2"/>
    <w:rsid w:val="06732F73"/>
    <w:rsid w:val="06768877"/>
    <w:rsid w:val="0781761B"/>
    <w:rsid w:val="084D6354"/>
    <w:rsid w:val="0859B347"/>
    <w:rsid w:val="08818665"/>
    <w:rsid w:val="0927C82B"/>
    <w:rsid w:val="092B9169"/>
    <w:rsid w:val="092DD416"/>
    <w:rsid w:val="095DD9D7"/>
    <w:rsid w:val="0A93410E"/>
    <w:rsid w:val="0AAC80A6"/>
    <w:rsid w:val="0ADA6DA1"/>
    <w:rsid w:val="0B3B4E7C"/>
    <w:rsid w:val="0B96E130"/>
    <w:rsid w:val="0BE08668"/>
    <w:rsid w:val="0C127063"/>
    <w:rsid w:val="0C5F68ED"/>
    <w:rsid w:val="0CA6F196"/>
    <w:rsid w:val="0CD71EDD"/>
    <w:rsid w:val="0CDA3806"/>
    <w:rsid w:val="0D08D222"/>
    <w:rsid w:val="0D1DF9A0"/>
    <w:rsid w:val="0D470B0B"/>
    <w:rsid w:val="0D471A1F"/>
    <w:rsid w:val="0E555921"/>
    <w:rsid w:val="0E72EF3E"/>
    <w:rsid w:val="0E760867"/>
    <w:rsid w:val="0F3834E4"/>
    <w:rsid w:val="0F7F2F0C"/>
    <w:rsid w:val="0FB5F45E"/>
    <w:rsid w:val="0FFA9F0C"/>
    <w:rsid w:val="1088C567"/>
    <w:rsid w:val="110652E6"/>
    <w:rsid w:val="1138C05B"/>
    <w:rsid w:val="11CDF0BA"/>
    <w:rsid w:val="122495C8"/>
    <w:rsid w:val="122DCDEB"/>
    <w:rsid w:val="127CC3D5"/>
    <w:rsid w:val="12FC75C7"/>
    <w:rsid w:val="13335CA2"/>
    <w:rsid w:val="14617761"/>
    <w:rsid w:val="14E4AB08"/>
    <w:rsid w:val="14E726CC"/>
    <w:rsid w:val="1505917C"/>
    <w:rsid w:val="155C368A"/>
    <w:rsid w:val="158B507A"/>
    <w:rsid w:val="161D9009"/>
    <w:rsid w:val="16541C9C"/>
    <w:rsid w:val="165BBE78"/>
    <w:rsid w:val="166F3123"/>
    <w:rsid w:val="1706D751"/>
    <w:rsid w:val="170D0068"/>
    <w:rsid w:val="1783D076"/>
    <w:rsid w:val="179BDF20"/>
    <w:rsid w:val="17F5748C"/>
    <w:rsid w:val="18569059"/>
    <w:rsid w:val="18BBCFFE"/>
    <w:rsid w:val="18E13C3C"/>
    <w:rsid w:val="18ED774B"/>
    <w:rsid w:val="191AE066"/>
    <w:rsid w:val="1974838F"/>
    <w:rsid w:val="1999F306"/>
    <w:rsid w:val="199B3826"/>
    <w:rsid w:val="19EB93A1"/>
    <w:rsid w:val="1A539206"/>
    <w:rsid w:val="1AB3A4B0"/>
    <w:rsid w:val="1AB4B6F2"/>
    <w:rsid w:val="1B2862CE"/>
    <w:rsid w:val="1B3A0AEE"/>
    <w:rsid w:val="1B74D709"/>
    <w:rsid w:val="1BDF756C"/>
    <w:rsid w:val="1C0D6AE1"/>
    <w:rsid w:val="1C5AE528"/>
    <w:rsid w:val="1CC4332F"/>
    <w:rsid w:val="1D4DD896"/>
    <w:rsid w:val="1DAA9B91"/>
    <w:rsid w:val="1DB329FB"/>
    <w:rsid w:val="1E6F4DC9"/>
    <w:rsid w:val="1E82A622"/>
    <w:rsid w:val="1E91008E"/>
    <w:rsid w:val="1EB56764"/>
    <w:rsid w:val="1EBCE84F"/>
    <w:rsid w:val="1ED70BEB"/>
    <w:rsid w:val="1EF5682F"/>
    <w:rsid w:val="1F02DA4D"/>
    <w:rsid w:val="1F38B3EA"/>
    <w:rsid w:val="1FEC3632"/>
    <w:rsid w:val="1FF4D4E4"/>
    <w:rsid w:val="200AD921"/>
    <w:rsid w:val="201247CB"/>
    <w:rsid w:val="202EED8C"/>
    <w:rsid w:val="20ABCEE5"/>
    <w:rsid w:val="20B6ED36"/>
    <w:rsid w:val="20CB44A3"/>
    <w:rsid w:val="20F4ABB8"/>
    <w:rsid w:val="21296B37"/>
    <w:rsid w:val="214033AA"/>
    <w:rsid w:val="214CB985"/>
    <w:rsid w:val="2158BDA8"/>
    <w:rsid w:val="2172CA97"/>
    <w:rsid w:val="217B3B9F"/>
    <w:rsid w:val="217E7BF5"/>
    <w:rsid w:val="21C1C614"/>
    <w:rsid w:val="223D420C"/>
    <w:rsid w:val="22AA754E"/>
    <w:rsid w:val="22E52329"/>
    <w:rsid w:val="231BB181"/>
    <w:rsid w:val="232E24D1"/>
    <w:rsid w:val="233E7670"/>
    <w:rsid w:val="239275E7"/>
    <w:rsid w:val="23E4D1A5"/>
    <w:rsid w:val="242E325E"/>
    <w:rsid w:val="24B053B1"/>
    <w:rsid w:val="24B12489"/>
    <w:rsid w:val="24B781E2"/>
    <w:rsid w:val="24C84607"/>
    <w:rsid w:val="25004212"/>
    <w:rsid w:val="250B6063"/>
    <w:rsid w:val="255BF4F5"/>
    <w:rsid w:val="256970B1"/>
    <w:rsid w:val="26185A8A"/>
    <w:rsid w:val="26641668"/>
    <w:rsid w:val="2711004A"/>
    <w:rsid w:val="272439E6"/>
    <w:rsid w:val="274CFC61"/>
    <w:rsid w:val="2823BC73"/>
    <w:rsid w:val="2846B4EF"/>
    <w:rsid w:val="2888D953"/>
    <w:rsid w:val="2914C93C"/>
    <w:rsid w:val="29323639"/>
    <w:rsid w:val="29B60D7C"/>
    <w:rsid w:val="29D26AAD"/>
    <w:rsid w:val="29DB617D"/>
    <w:rsid w:val="2AA9796E"/>
    <w:rsid w:val="2AF52EF3"/>
    <w:rsid w:val="2C445DFE"/>
    <w:rsid w:val="2CA23D39"/>
    <w:rsid w:val="2D672846"/>
    <w:rsid w:val="2DE11A30"/>
    <w:rsid w:val="2E33D56B"/>
    <w:rsid w:val="2E888341"/>
    <w:rsid w:val="2EF18093"/>
    <w:rsid w:val="2F3D5268"/>
    <w:rsid w:val="2F6A02EA"/>
    <w:rsid w:val="311D8F4F"/>
    <w:rsid w:val="312E3935"/>
    <w:rsid w:val="31AB861D"/>
    <w:rsid w:val="31B5CE3F"/>
    <w:rsid w:val="31E4536C"/>
    <w:rsid w:val="322D5514"/>
    <w:rsid w:val="3243166F"/>
    <w:rsid w:val="329D17DF"/>
    <w:rsid w:val="32C1D8D5"/>
    <w:rsid w:val="33B6F419"/>
    <w:rsid w:val="33C6AF52"/>
    <w:rsid w:val="33EF7044"/>
    <w:rsid w:val="34223E3F"/>
    <w:rsid w:val="34553011"/>
    <w:rsid w:val="350F04C8"/>
    <w:rsid w:val="3594B433"/>
    <w:rsid w:val="3599A5BE"/>
    <w:rsid w:val="35A41D6D"/>
    <w:rsid w:val="35B90467"/>
    <w:rsid w:val="35C3EF2E"/>
    <w:rsid w:val="35EDCB79"/>
    <w:rsid w:val="366BC4F0"/>
    <w:rsid w:val="36771612"/>
    <w:rsid w:val="36816C10"/>
    <w:rsid w:val="3761D71F"/>
    <w:rsid w:val="37773391"/>
    <w:rsid w:val="37BF66D2"/>
    <w:rsid w:val="37CF8D38"/>
    <w:rsid w:val="37E53748"/>
    <w:rsid w:val="380BCEC9"/>
    <w:rsid w:val="384AE9D0"/>
    <w:rsid w:val="38B0EB44"/>
    <w:rsid w:val="38B909EF"/>
    <w:rsid w:val="38D8B2D3"/>
    <w:rsid w:val="38EFE981"/>
    <w:rsid w:val="398A3D55"/>
    <w:rsid w:val="39AB3677"/>
    <w:rsid w:val="39AE8B03"/>
    <w:rsid w:val="39E65F94"/>
    <w:rsid w:val="39EDAAD2"/>
    <w:rsid w:val="3A1C7DEC"/>
    <w:rsid w:val="3AE0935D"/>
    <w:rsid w:val="3B62E549"/>
    <w:rsid w:val="3B897B33"/>
    <w:rsid w:val="3B8A42C2"/>
    <w:rsid w:val="3C0BE179"/>
    <w:rsid w:val="3C2845EB"/>
    <w:rsid w:val="3C47FDE7"/>
    <w:rsid w:val="3C586AAD"/>
    <w:rsid w:val="3C7EA36A"/>
    <w:rsid w:val="3CC9C794"/>
    <w:rsid w:val="3CECBFF9"/>
    <w:rsid w:val="3CED1F18"/>
    <w:rsid w:val="3DDF8749"/>
    <w:rsid w:val="3DEFEBF5"/>
    <w:rsid w:val="3E60B762"/>
    <w:rsid w:val="3E6597F5"/>
    <w:rsid w:val="3E69F913"/>
    <w:rsid w:val="3F24E3FA"/>
    <w:rsid w:val="3F79E42B"/>
    <w:rsid w:val="3F849952"/>
    <w:rsid w:val="3FA47757"/>
    <w:rsid w:val="3FA8B8E5"/>
    <w:rsid w:val="4029C36D"/>
    <w:rsid w:val="404CF5F8"/>
    <w:rsid w:val="40BFD532"/>
    <w:rsid w:val="41066A29"/>
    <w:rsid w:val="414246B2"/>
    <w:rsid w:val="41448946"/>
    <w:rsid w:val="415713D3"/>
    <w:rsid w:val="41BBEBBA"/>
    <w:rsid w:val="41DB1997"/>
    <w:rsid w:val="420E4DAF"/>
    <w:rsid w:val="42552ED7"/>
    <w:rsid w:val="42E059A7"/>
    <w:rsid w:val="4390549B"/>
    <w:rsid w:val="43A604C1"/>
    <w:rsid w:val="43FCB1E2"/>
    <w:rsid w:val="4410058A"/>
    <w:rsid w:val="442B87E8"/>
    <w:rsid w:val="44857740"/>
    <w:rsid w:val="4519EFB6"/>
    <w:rsid w:val="45332FA0"/>
    <w:rsid w:val="457536AE"/>
    <w:rsid w:val="470FF742"/>
    <w:rsid w:val="4715DF8E"/>
    <w:rsid w:val="477DECF9"/>
    <w:rsid w:val="480490BE"/>
    <w:rsid w:val="48284350"/>
    <w:rsid w:val="486BA03E"/>
    <w:rsid w:val="49132310"/>
    <w:rsid w:val="49308384"/>
    <w:rsid w:val="493672CE"/>
    <w:rsid w:val="49A87E22"/>
    <w:rsid w:val="49DCA133"/>
    <w:rsid w:val="49E334F1"/>
    <w:rsid w:val="4A7E87FA"/>
    <w:rsid w:val="4B0EF387"/>
    <w:rsid w:val="4C254839"/>
    <w:rsid w:val="4CD94A66"/>
    <w:rsid w:val="4CDFEF67"/>
    <w:rsid w:val="4DF6AE3B"/>
    <w:rsid w:val="4DF96547"/>
    <w:rsid w:val="4E5358DB"/>
    <w:rsid w:val="4E9BA5C0"/>
    <w:rsid w:val="4EB9F699"/>
    <w:rsid w:val="4EE73321"/>
    <w:rsid w:val="4F220E58"/>
    <w:rsid w:val="4F487A3B"/>
    <w:rsid w:val="4FEF293C"/>
    <w:rsid w:val="501BC9A1"/>
    <w:rsid w:val="5050A50D"/>
    <w:rsid w:val="5093F332"/>
    <w:rsid w:val="50AA9A30"/>
    <w:rsid w:val="50CC10C0"/>
    <w:rsid w:val="50F9F00C"/>
    <w:rsid w:val="51384451"/>
    <w:rsid w:val="51486977"/>
    <w:rsid w:val="515CE2BA"/>
    <w:rsid w:val="519E71A5"/>
    <w:rsid w:val="51AC47E5"/>
    <w:rsid w:val="51B79A02"/>
    <w:rsid w:val="5264013D"/>
    <w:rsid w:val="52946440"/>
    <w:rsid w:val="529F35F7"/>
    <w:rsid w:val="52AF553D"/>
    <w:rsid w:val="52EDA90B"/>
    <w:rsid w:val="5344B047"/>
    <w:rsid w:val="53481846"/>
    <w:rsid w:val="53536A63"/>
    <w:rsid w:val="53926974"/>
    <w:rsid w:val="5395B768"/>
    <w:rsid w:val="549396F2"/>
    <w:rsid w:val="54C0C779"/>
    <w:rsid w:val="54D61267"/>
    <w:rsid w:val="54E3E8A7"/>
    <w:rsid w:val="553187C9"/>
    <w:rsid w:val="55BF0C59"/>
    <w:rsid w:val="55ED3981"/>
    <w:rsid w:val="562002F2"/>
    <w:rsid w:val="5623ED04"/>
    <w:rsid w:val="568AE421"/>
    <w:rsid w:val="56AD5CFF"/>
    <w:rsid w:val="56CD582A"/>
    <w:rsid w:val="58492D60"/>
    <w:rsid w:val="584AF2CD"/>
    <w:rsid w:val="58CFC13F"/>
    <w:rsid w:val="593F3095"/>
    <w:rsid w:val="5992B5E3"/>
    <w:rsid w:val="59CFDC94"/>
    <w:rsid w:val="59EB614D"/>
    <w:rsid w:val="5A04F8EC"/>
    <w:rsid w:val="5A329C87"/>
    <w:rsid w:val="5A3770E4"/>
    <w:rsid w:val="5AA98926"/>
    <w:rsid w:val="5B6DAE67"/>
    <w:rsid w:val="5B9357B4"/>
    <w:rsid w:val="5BAE018F"/>
    <w:rsid w:val="5C01C54F"/>
    <w:rsid w:val="5C580F2C"/>
    <w:rsid w:val="5CF5547B"/>
    <w:rsid w:val="5D3C99AE"/>
    <w:rsid w:val="5D6A3D49"/>
    <w:rsid w:val="5D77FA4D"/>
    <w:rsid w:val="5DE129E8"/>
    <w:rsid w:val="5E66FEB5"/>
    <w:rsid w:val="5E6E963C"/>
    <w:rsid w:val="5EA5223A"/>
    <w:rsid w:val="5F0E44C9"/>
    <w:rsid w:val="5F77BDD0"/>
    <w:rsid w:val="5FA42B9D"/>
    <w:rsid w:val="5FD27161"/>
    <w:rsid w:val="603226B9"/>
    <w:rsid w:val="6063ED7A"/>
    <w:rsid w:val="615D10FA"/>
    <w:rsid w:val="6184E463"/>
    <w:rsid w:val="61911116"/>
    <w:rsid w:val="620CF525"/>
    <w:rsid w:val="624297F9"/>
    <w:rsid w:val="62BD4747"/>
    <w:rsid w:val="62F2F20F"/>
    <w:rsid w:val="636AAEEA"/>
    <w:rsid w:val="6378935D"/>
    <w:rsid w:val="63798F7C"/>
    <w:rsid w:val="63AD0CFC"/>
    <w:rsid w:val="641FEB68"/>
    <w:rsid w:val="642845DA"/>
    <w:rsid w:val="644FA21E"/>
    <w:rsid w:val="646F78F2"/>
    <w:rsid w:val="64893F9F"/>
    <w:rsid w:val="650F8A46"/>
    <w:rsid w:val="6610BE2C"/>
    <w:rsid w:val="6622C415"/>
    <w:rsid w:val="662F8EEF"/>
    <w:rsid w:val="66875613"/>
    <w:rsid w:val="668B639F"/>
    <w:rsid w:val="670D7AFA"/>
    <w:rsid w:val="677A6F6E"/>
    <w:rsid w:val="67E8A0FC"/>
    <w:rsid w:val="6869041D"/>
    <w:rsid w:val="686DA082"/>
    <w:rsid w:val="688046AE"/>
    <w:rsid w:val="68AD59C5"/>
    <w:rsid w:val="6913606E"/>
    <w:rsid w:val="69231341"/>
    <w:rsid w:val="69FF35DB"/>
    <w:rsid w:val="6A172AA5"/>
    <w:rsid w:val="6A8983BD"/>
    <w:rsid w:val="6AAF30CF"/>
    <w:rsid w:val="6AEFD603"/>
    <w:rsid w:val="6B2AF93C"/>
    <w:rsid w:val="6BEAB42E"/>
    <w:rsid w:val="6C842C92"/>
    <w:rsid w:val="6CA4B018"/>
    <w:rsid w:val="6CD8D7D6"/>
    <w:rsid w:val="6D1C1EB2"/>
    <w:rsid w:val="6D1E71D2"/>
    <w:rsid w:val="6D30DB1A"/>
    <w:rsid w:val="6D5AAAFE"/>
    <w:rsid w:val="6DDD5C07"/>
    <w:rsid w:val="6DEB0B09"/>
    <w:rsid w:val="6E2C5647"/>
    <w:rsid w:val="6E621BD8"/>
    <w:rsid w:val="6E63349A"/>
    <w:rsid w:val="6E902784"/>
    <w:rsid w:val="6EB7EF13"/>
    <w:rsid w:val="6F036018"/>
    <w:rsid w:val="6F8795DD"/>
    <w:rsid w:val="6FC9D441"/>
    <w:rsid w:val="6FE357BC"/>
    <w:rsid w:val="6FF6CC0A"/>
    <w:rsid w:val="6FFF04FB"/>
    <w:rsid w:val="7020BA27"/>
    <w:rsid w:val="70575088"/>
    <w:rsid w:val="7089389D"/>
    <w:rsid w:val="70924BC0"/>
    <w:rsid w:val="70B6B662"/>
    <w:rsid w:val="71582797"/>
    <w:rsid w:val="7194D09A"/>
    <w:rsid w:val="7242975F"/>
    <w:rsid w:val="724EE85F"/>
    <w:rsid w:val="72A553CF"/>
    <w:rsid w:val="72FF4D0B"/>
    <w:rsid w:val="736761E5"/>
    <w:rsid w:val="737A2251"/>
    <w:rsid w:val="737E6881"/>
    <w:rsid w:val="739E313D"/>
    <w:rsid w:val="73B3E9F9"/>
    <w:rsid w:val="73DD0D63"/>
    <w:rsid w:val="748D57CC"/>
    <w:rsid w:val="7496B97A"/>
    <w:rsid w:val="74A32960"/>
    <w:rsid w:val="75273097"/>
    <w:rsid w:val="75B86D6C"/>
    <w:rsid w:val="75C4A57D"/>
    <w:rsid w:val="760DE668"/>
    <w:rsid w:val="764C0E3D"/>
    <w:rsid w:val="769F02A7"/>
    <w:rsid w:val="770E268F"/>
    <w:rsid w:val="776075DE"/>
    <w:rsid w:val="776332C7"/>
    <w:rsid w:val="77FCEF9B"/>
    <w:rsid w:val="780E4296"/>
    <w:rsid w:val="7826FE64"/>
    <w:rsid w:val="78A3536F"/>
    <w:rsid w:val="78B57EC3"/>
    <w:rsid w:val="78CFEACD"/>
    <w:rsid w:val="79B4765F"/>
    <w:rsid w:val="79FA3A87"/>
    <w:rsid w:val="7B1A9C4A"/>
    <w:rsid w:val="7B7490D7"/>
    <w:rsid w:val="7B7CAF83"/>
    <w:rsid w:val="7B9A77FD"/>
    <w:rsid w:val="7BA29B3B"/>
    <w:rsid w:val="7C1294B0"/>
    <w:rsid w:val="7C1C8509"/>
    <w:rsid w:val="7C4D5896"/>
    <w:rsid w:val="7CE8CE8D"/>
    <w:rsid w:val="7D66D86D"/>
    <w:rsid w:val="7DAE6511"/>
    <w:rsid w:val="7DD4A1DB"/>
    <w:rsid w:val="7E0766F7"/>
    <w:rsid w:val="7E103403"/>
    <w:rsid w:val="7E47DAC7"/>
    <w:rsid w:val="7EE5E776"/>
    <w:rsid w:val="7EFC0970"/>
    <w:rsid w:val="7F1C1527"/>
    <w:rsid w:val="7F92DC07"/>
    <w:rsid w:val="7FAC0464"/>
    <w:rsid w:val="7FF89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762F27"/>
  <w15:chartTrackingRefBased/>
  <w15:docId w15:val="{DADFCB91-7DB9-4914-B5E8-B2C36F9EC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345B"/>
    <w:rPr>
      <w:rFonts w:ascii="Arial" w:hAnsi="Arial"/>
      <w:sz w:val="24"/>
    </w:rPr>
  </w:style>
  <w:style w:type="paragraph" w:styleId="Heading5">
    <w:name w:val="heading 5"/>
    <w:basedOn w:val="Normal"/>
    <w:next w:val="Normal"/>
    <w:link w:val="Heading5Char"/>
    <w:uiPriority w:val="9"/>
    <w:unhideWhenUsed/>
    <w:qFormat/>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9345B"/>
    <w:pPr>
      <w:tabs>
        <w:tab w:val="center" w:pos="4320"/>
        <w:tab w:val="right" w:pos="8640"/>
      </w:tabs>
    </w:pPr>
  </w:style>
  <w:style w:type="character" w:styleId="PageNumber">
    <w:name w:val="page number"/>
    <w:basedOn w:val="DefaultParagraphFont"/>
    <w:rsid w:val="00C9345B"/>
  </w:style>
  <w:style w:type="paragraph" w:styleId="BodyText2">
    <w:name w:val="Body Text 2"/>
    <w:basedOn w:val="Normal"/>
    <w:rsid w:val="00C9345B"/>
    <w:pPr>
      <w:spacing w:line="480" w:lineRule="auto"/>
      <w:ind w:firstLine="720"/>
    </w:pPr>
  </w:style>
  <w:style w:type="paragraph" w:styleId="Footer">
    <w:name w:val="footer"/>
    <w:basedOn w:val="Normal"/>
    <w:rsid w:val="00240D3B"/>
    <w:pPr>
      <w:tabs>
        <w:tab w:val="center" w:pos="4320"/>
        <w:tab w:val="right" w:pos="8640"/>
      </w:tabs>
    </w:pPr>
  </w:style>
  <w:style w:type="paragraph" w:customStyle="1" w:styleId="GrandCanyonReference">
    <w:name w:val="Grand Canyon Reference"/>
    <w:basedOn w:val="Normal"/>
    <w:autoRedefine/>
    <w:rsid w:val="00162E95"/>
    <w:pPr>
      <w:widowControl w:val="0"/>
      <w:spacing w:line="480" w:lineRule="auto"/>
      <w:ind w:left="720" w:hanging="720"/>
    </w:pPr>
    <w:rPr>
      <w:rFonts w:ascii="Times New Roman" w:hAnsi="Times New Roman" w:cs="Lucida Sans Unicode"/>
      <w:bCs/>
      <w:kern w:val="32"/>
      <w:szCs w:val="24"/>
    </w:rPr>
  </w:style>
  <w:style w:type="character" w:styleId="Hyperlink">
    <w:name w:val="Hyperlink"/>
    <w:rsid w:val="00B83D9D"/>
    <w:rPr>
      <w:color w:val="0000FF"/>
      <w:u w:val="single"/>
    </w:rPr>
  </w:style>
  <w:style w:type="paragraph" w:styleId="BalloonText">
    <w:name w:val="Balloon Text"/>
    <w:basedOn w:val="Normal"/>
    <w:link w:val="BalloonTextChar"/>
    <w:rsid w:val="0035053D"/>
    <w:rPr>
      <w:rFonts w:ascii="Segoe UI" w:hAnsi="Segoe UI" w:cs="Segoe UI"/>
      <w:sz w:val="18"/>
      <w:szCs w:val="18"/>
    </w:rPr>
  </w:style>
  <w:style w:type="character" w:customStyle="1" w:styleId="BalloonTextChar">
    <w:name w:val="Balloon Text Char"/>
    <w:basedOn w:val="DefaultParagraphFont"/>
    <w:link w:val="BalloonText"/>
    <w:rsid w:val="0035053D"/>
    <w:rPr>
      <w:rFonts w:ascii="Segoe UI" w:hAnsi="Segoe UI" w:cs="Segoe UI"/>
      <w:sz w:val="18"/>
      <w:szCs w:val="18"/>
    </w:rPr>
  </w:style>
  <w:style w:type="character" w:styleId="CommentReference">
    <w:name w:val="annotation reference"/>
    <w:basedOn w:val="DefaultParagraphFont"/>
    <w:rsid w:val="00311BDA"/>
    <w:rPr>
      <w:sz w:val="16"/>
      <w:szCs w:val="16"/>
    </w:rPr>
  </w:style>
  <w:style w:type="paragraph" w:styleId="CommentText">
    <w:name w:val="annotation text"/>
    <w:basedOn w:val="Normal"/>
    <w:link w:val="CommentTextChar"/>
    <w:rsid w:val="00311BDA"/>
    <w:rPr>
      <w:sz w:val="20"/>
    </w:rPr>
  </w:style>
  <w:style w:type="character" w:customStyle="1" w:styleId="CommentTextChar">
    <w:name w:val="Comment Text Char"/>
    <w:basedOn w:val="DefaultParagraphFont"/>
    <w:link w:val="CommentText"/>
    <w:rsid w:val="00311BDA"/>
    <w:rPr>
      <w:rFonts w:ascii="Arial" w:hAnsi="Arial"/>
    </w:rPr>
  </w:style>
  <w:style w:type="paragraph" w:styleId="CommentSubject">
    <w:name w:val="annotation subject"/>
    <w:basedOn w:val="CommentText"/>
    <w:next w:val="CommentText"/>
    <w:link w:val="CommentSubjectChar"/>
    <w:rsid w:val="00311BDA"/>
    <w:rPr>
      <w:b/>
      <w:bCs/>
    </w:rPr>
  </w:style>
  <w:style w:type="character" w:customStyle="1" w:styleId="CommentSubjectChar">
    <w:name w:val="Comment Subject Char"/>
    <w:basedOn w:val="CommentTextChar"/>
    <w:link w:val="CommentSubject"/>
    <w:rsid w:val="00311BDA"/>
    <w:rPr>
      <w:rFonts w:ascii="Arial" w:hAnsi="Arial"/>
      <w:b/>
      <w:bCs/>
    </w:rPr>
  </w:style>
  <w:style w:type="character" w:styleId="UnresolvedMention">
    <w:name w:val="Unresolved Mention"/>
    <w:basedOn w:val="DefaultParagraphFont"/>
    <w:uiPriority w:val="99"/>
    <w:semiHidden/>
    <w:unhideWhenUsed/>
    <w:rsid w:val="00A05680"/>
    <w:rPr>
      <w:color w:val="605E5C"/>
      <w:shd w:val="clear" w:color="auto" w:fill="E1DFDD"/>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paragraph" w:styleId="NormalWeb">
    <w:name w:val="Normal (Web)"/>
    <w:basedOn w:val="Normal"/>
    <w:uiPriority w:val="99"/>
    <w:unhideWhenUsed/>
    <w:rsid w:val="00EF62CD"/>
    <w:pPr>
      <w:spacing w:before="100" w:beforeAutospacing="1" w:after="100" w:afterAutospacing="1"/>
    </w:pPr>
    <w:rPr>
      <w:rFonts w:ascii="Times New Roman" w:hAnsi="Times New Roman"/>
      <w:szCs w:val="24"/>
    </w:rPr>
  </w:style>
  <w:style w:type="character" w:customStyle="1" w:styleId="bkciteavail">
    <w:name w:val="bk_cite_avail"/>
    <w:basedOn w:val="DefaultParagraphFont"/>
    <w:rsid w:val="00915ECE"/>
  </w:style>
  <w:style w:type="character" w:styleId="Emphasis">
    <w:name w:val="Emphasis"/>
    <w:basedOn w:val="DefaultParagraphFont"/>
    <w:uiPriority w:val="20"/>
    <w:qFormat/>
    <w:rsid w:val="009E453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68708">
      <w:bodyDiv w:val="1"/>
      <w:marLeft w:val="0"/>
      <w:marRight w:val="0"/>
      <w:marTop w:val="0"/>
      <w:marBottom w:val="0"/>
      <w:divBdr>
        <w:top w:val="none" w:sz="0" w:space="0" w:color="auto"/>
        <w:left w:val="none" w:sz="0" w:space="0" w:color="auto"/>
        <w:bottom w:val="none" w:sz="0" w:space="0" w:color="auto"/>
        <w:right w:val="none" w:sz="0" w:space="0" w:color="auto"/>
      </w:divBdr>
    </w:div>
    <w:div w:id="189228889">
      <w:bodyDiv w:val="1"/>
      <w:marLeft w:val="0"/>
      <w:marRight w:val="0"/>
      <w:marTop w:val="0"/>
      <w:marBottom w:val="0"/>
      <w:divBdr>
        <w:top w:val="none" w:sz="0" w:space="0" w:color="auto"/>
        <w:left w:val="none" w:sz="0" w:space="0" w:color="auto"/>
        <w:bottom w:val="none" w:sz="0" w:space="0" w:color="auto"/>
        <w:right w:val="none" w:sz="0" w:space="0" w:color="auto"/>
      </w:divBdr>
    </w:div>
    <w:div w:id="304162513">
      <w:bodyDiv w:val="1"/>
      <w:marLeft w:val="0"/>
      <w:marRight w:val="0"/>
      <w:marTop w:val="0"/>
      <w:marBottom w:val="0"/>
      <w:divBdr>
        <w:top w:val="none" w:sz="0" w:space="0" w:color="auto"/>
        <w:left w:val="none" w:sz="0" w:space="0" w:color="auto"/>
        <w:bottom w:val="none" w:sz="0" w:space="0" w:color="auto"/>
        <w:right w:val="none" w:sz="0" w:space="0" w:color="auto"/>
      </w:divBdr>
    </w:div>
    <w:div w:id="369961543">
      <w:bodyDiv w:val="1"/>
      <w:marLeft w:val="0"/>
      <w:marRight w:val="0"/>
      <w:marTop w:val="0"/>
      <w:marBottom w:val="0"/>
      <w:divBdr>
        <w:top w:val="none" w:sz="0" w:space="0" w:color="auto"/>
        <w:left w:val="none" w:sz="0" w:space="0" w:color="auto"/>
        <w:bottom w:val="none" w:sz="0" w:space="0" w:color="auto"/>
        <w:right w:val="none" w:sz="0" w:space="0" w:color="auto"/>
      </w:divBdr>
    </w:div>
    <w:div w:id="503594691">
      <w:bodyDiv w:val="1"/>
      <w:marLeft w:val="0"/>
      <w:marRight w:val="0"/>
      <w:marTop w:val="0"/>
      <w:marBottom w:val="0"/>
      <w:divBdr>
        <w:top w:val="none" w:sz="0" w:space="0" w:color="auto"/>
        <w:left w:val="none" w:sz="0" w:space="0" w:color="auto"/>
        <w:bottom w:val="none" w:sz="0" w:space="0" w:color="auto"/>
        <w:right w:val="none" w:sz="0" w:space="0" w:color="auto"/>
      </w:divBdr>
    </w:div>
    <w:div w:id="639847259">
      <w:bodyDiv w:val="1"/>
      <w:marLeft w:val="0"/>
      <w:marRight w:val="0"/>
      <w:marTop w:val="0"/>
      <w:marBottom w:val="0"/>
      <w:divBdr>
        <w:top w:val="none" w:sz="0" w:space="0" w:color="auto"/>
        <w:left w:val="none" w:sz="0" w:space="0" w:color="auto"/>
        <w:bottom w:val="none" w:sz="0" w:space="0" w:color="auto"/>
        <w:right w:val="none" w:sz="0" w:space="0" w:color="auto"/>
      </w:divBdr>
    </w:div>
    <w:div w:id="653335501">
      <w:bodyDiv w:val="1"/>
      <w:marLeft w:val="0"/>
      <w:marRight w:val="0"/>
      <w:marTop w:val="0"/>
      <w:marBottom w:val="0"/>
      <w:divBdr>
        <w:top w:val="none" w:sz="0" w:space="0" w:color="auto"/>
        <w:left w:val="none" w:sz="0" w:space="0" w:color="auto"/>
        <w:bottom w:val="none" w:sz="0" w:space="0" w:color="auto"/>
        <w:right w:val="none" w:sz="0" w:space="0" w:color="auto"/>
      </w:divBdr>
    </w:div>
    <w:div w:id="721292097">
      <w:bodyDiv w:val="1"/>
      <w:marLeft w:val="0"/>
      <w:marRight w:val="0"/>
      <w:marTop w:val="0"/>
      <w:marBottom w:val="0"/>
      <w:divBdr>
        <w:top w:val="none" w:sz="0" w:space="0" w:color="auto"/>
        <w:left w:val="none" w:sz="0" w:space="0" w:color="auto"/>
        <w:bottom w:val="none" w:sz="0" w:space="0" w:color="auto"/>
        <w:right w:val="none" w:sz="0" w:space="0" w:color="auto"/>
      </w:divBdr>
    </w:div>
    <w:div w:id="731973602">
      <w:bodyDiv w:val="1"/>
      <w:marLeft w:val="0"/>
      <w:marRight w:val="0"/>
      <w:marTop w:val="0"/>
      <w:marBottom w:val="0"/>
      <w:divBdr>
        <w:top w:val="none" w:sz="0" w:space="0" w:color="auto"/>
        <w:left w:val="none" w:sz="0" w:space="0" w:color="auto"/>
        <w:bottom w:val="none" w:sz="0" w:space="0" w:color="auto"/>
        <w:right w:val="none" w:sz="0" w:space="0" w:color="auto"/>
      </w:divBdr>
    </w:div>
    <w:div w:id="773134504">
      <w:bodyDiv w:val="1"/>
      <w:marLeft w:val="0"/>
      <w:marRight w:val="0"/>
      <w:marTop w:val="0"/>
      <w:marBottom w:val="0"/>
      <w:divBdr>
        <w:top w:val="none" w:sz="0" w:space="0" w:color="auto"/>
        <w:left w:val="none" w:sz="0" w:space="0" w:color="auto"/>
        <w:bottom w:val="none" w:sz="0" w:space="0" w:color="auto"/>
        <w:right w:val="none" w:sz="0" w:space="0" w:color="auto"/>
      </w:divBdr>
    </w:div>
    <w:div w:id="798259541">
      <w:bodyDiv w:val="1"/>
      <w:marLeft w:val="0"/>
      <w:marRight w:val="0"/>
      <w:marTop w:val="0"/>
      <w:marBottom w:val="0"/>
      <w:divBdr>
        <w:top w:val="none" w:sz="0" w:space="0" w:color="auto"/>
        <w:left w:val="none" w:sz="0" w:space="0" w:color="auto"/>
        <w:bottom w:val="none" w:sz="0" w:space="0" w:color="auto"/>
        <w:right w:val="none" w:sz="0" w:space="0" w:color="auto"/>
      </w:divBdr>
    </w:div>
    <w:div w:id="827592028">
      <w:bodyDiv w:val="1"/>
      <w:marLeft w:val="0"/>
      <w:marRight w:val="0"/>
      <w:marTop w:val="0"/>
      <w:marBottom w:val="0"/>
      <w:divBdr>
        <w:top w:val="none" w:sz="0" w:space="0" w:color="auto"/>
        <w:left w:val="none" w:sz="0" w:space="0" w:color="auto"/>
        <w:bottom w:val="none" w:sz="0" w:space="0" w:color="auto"/>
        <w:right w:val="none" w:sz="0" w:space="0" w:color="auto"/>
      </w:divBdr>
    </w:div>
    <w:div w:id="851534411">
      <w:bodyDiv w:val="1"/>
      <w:marLeft w:val="0"/>
      <w:marRight w:val="0"/>
      <w:marTop w:val="0"/>
      <w:marBottom w:val="0"/>
      <w:divBdr>
        <w:top w:val="none" w:sz="0" w:space="0" w:color="auto"/>
        <w:left w:val="none" w:sz="0" w:space="0" w:color="auto"/>
        <w:bottom w:val="none" w:sz="0" w:space="0" w:color="auto"/>
        <w:right w:val="none" w:sz="0" w:space="0" w:color="auto"/>
      </w:divBdr>
    </w:div>
    <w:div w:id="857087397">
      <w:bodyDiv w:val="1"/>
      <w:marLeft w:val="0"/>
      <w:marRight w:val="0"/>
      <w:marTop w:val="0"/>
      <w:marBottom w:val="0"/>
      <w:divBdr>
        <w:top w:val="none" w:sz="0" w:space="0" w:color="auto"/>
        <w:left w:val="none" w:sz="0" w:space="0" w:color="auto"/>
        <w:bottom w:val="none" w:sz="0" w:space="0" w:color="auto"/>
        <w:right w:val="none" w:sz="0" w:space="0" w:color="auto"/>
      </w:divBdr>
    </w:div>
    <w:div w:id="868370456">
      <w:bodyDiv w:val="1"/>
      <w:marLeft w:val="0"/>
      <w:marRight w:val="0"/>
      <w:marTop w:val="0"/>
      <w:marBottom w:val="0"/>
      <w:divBdr>
        <w:top w:val="none" w:sz="0" w:space="0" w:color="auto"/>
        <w:left w:val="none" w:sz="0" w:space="0" w:color="auto"/>
        <w:bottom w:val="none" w:sz="0" w:space="0" w:color="auto"/>
        <w:right w:val="none" w:sz="0" w:space="0" w:color="auto"/>
      </w:divBdr>
    </w:div>
    <w:div w:id="1010181858">
      <w:bodyDiv w:val="1"/>
      <w:marLeft w:val="0"/>
      <w:marRight w:val="0"/>
      <w:marTop w:val="0"/>
      <w:marBottom w:val="0"/>
      <w:divBdr>
        <w:top w:val="none" w:sz="0" w:space="0" w:color="auto"/>
        <w:left w:val="none" w:sz="0" w:space="0" w:color="auto"/>
        <w:bottom w:val="none" w:sz="0" w:space="0" w:color="auto"/>
        <w:right w:val="none" w:sz="0" w:space="0" w:color="auto"/>
      </w:divBdr>
    </w:div>
    <w:div w:id="1195195411">
      <w:bodyDiv w:val="1"/>
      <w:marLeft w:val="0"/>
      <w:marRight w:val="0"/>
      <w:marTop w:val="0"/>
      <w:marBottom w:val="0"/>
      <w:divBdr>
        <w:top w:val="none" w:sz="0" w:space="0" w:color="auto"/>
        <w:left w:val="none" w:sz="0" w:space="0" w:color="auto"/>
        <w:bottom w:val="none" w:sz="0" w:space="0" w:color="auto"/>
        <w:right w:val="none" w:sz="0" w:space="0" w:color="auto"/>
      </w:divBdr>
    </w:div>
    <w:div w:id="1263686269">
      <w:bodyDiv w:val="1"/>
      <w:marLeft w:val="0"/>
      <w:marRight w:val="0"/>
      <w:marTop w:val="0"/>
      <w:marBottom w:val="0"/>
      <w:divBdr>
        <w:top w:val="none" w:sz="0" w:space="0" w:color="auto"/>
        <w:left w:val="none" w:sz="0" w:space="0" w:color="auto"/>
        <w:bottom w:val="none" w:sz="0" w:space="0" w:color="auto"/>
        <w:right w:val="none" w:sz="0" w:space="0" w:color="auto"/>
      </w:divBdr>
    </w:div>
    <w:div w:id="1409423910">
      <w:bodyDiv w:val="1"/>
      <w:marLeft w:val="0"/>
      <w:marRight w:val="0"/>
      <w:marTop w:val="0"/>
      <w:marBottom w:val="0"/>
      <w:divBdr>
        <w:top w:val="none" w:sz="0" w:space="0" w:color="auto"/>
        <w:left w:val="none" w:sz="0" w:space="0" w:color="auto"/>
        <w:bottom w:val="none" w:sz="0" w:space="0" w:color="auto"/>
        <w:right w:val="none" w:sz="0" w:space="0" w:color="auto"/>
      </w:divBdr>
    </w:div>
    <w:div w:id="1465124852">
      <w:bodyDiv w:val="1"/>
      <w:marLeft w:val="0"/>
      <w:marRight w:val="0"/>
      <w:marTop w:val="0"/>
      <w:marBottom w:val="0"/>
      <w:divBdr>
        <w:top w:val="none" w:sz="0" w:space="0" w:color="auto"/>
        <w:left w:val="none" w:sz="0" w:space="0" w:color="auto"/>
        <w:bottom w:val="none" w:sz="0" w:space="0" w:color="auto"/>
        <w:right w:val="none" w:sz="0" w:space="0" w:color="auto"/>
      </w:divBdr>
    </w:div>
    <w:div w:id="1480227341">
      <w:bodyDiv w:val="1"/>
      <w:marLeft w:val="0"/>
      <w:marRight w:val="0"/>
      <w:marTop w:val="0"/>
      <w:marBottom w:val="0"/>
      <w:divBdr>
        <w:top w:val="none" w:sz="0" w:space="0" w:color="auto"/>
        <w:left w:val="none" w:sz="0" w:space="0" w:color="auto"/>
        <w:bottom w:val="none" w:sz="0" w:space="0" w:color="auto"/>
        <w:right w:val="none" w:sz="0" w:space="0" w:color="auto"/>
      </w:divBdr>
    </w:div>
    <w:div w:id="1482117050">
      <w:bodyDiv w:val="1"/>
      <w:marLeft w:val="0"/>
      <w:marRight w:val="0"/>
      <w:marTop w:val="0"/>
      <w:marBottom w:val="0"/>
      <w:divBdr>
        <w:top w:val="none" w:sz="0" w:space="0" w:color="auto"/>
        <w:left w:val="none" w:sz="0" w:space="0" w:color="auto"/>
        <w:bottom w:val="none" w:sz="0" w:space="0" w:color="auto"/>
        <w:right w:val="none" w:sz="0" w:space="0" w:color="auto"/>
      </w:divBdr>
    </w:div>
    <w:div w:id="1497764860">
      <w:bodyDiv w:val="1"/>
      <w:marLeft w:val="0"/>
      <w:marRight w:val="0"/>
      <w:marTop w:val="0"/>
      <w:marBottom w:val="0"/>
      <w:divBdr>
        <w:top w:val="none" w:sz="0" w:space="0" w:color="auto"/>
        <w:left w:val="none" w:sz="0" w:space="0" w:color="auto"/>
        <w:bottom w:val="none" w:sz="0" w:space="0" w:color="auto"/>
        <w:right w:val="none" w:sz="0" w:space="0" w:color="auto"/>
      </w:divBdr>
    </w:div>
    <w:div w:id="1516461738">
      <w:bodyDiv w:val="1"/>
      <w:marLeft w:val="0"/>
      <w:marRight w:val="0"/>
      <w:marTop w:val="0"/>
      <w:marBottom w:val="0"/>
      <w:divBdr>
        <w:top w:val="none" w:sz="0" w:space="0" w:color="auto"/>
        <w:left w:val="none" w:sz="0" w:space="0" w:color="auto"/>
        <w:bottom w:val="none" w:sz="0" w:space="0" w:color="auto"/>
        <w:right w:val="none" w:sz="0" w:space="0" w:color="auto"/>
      </w:divBdr>
    </w:div>
    <w:div w:id="1545291861">
      <w:bodyDiv w:val="1"/>
      <w:marLeft w:val="0"/>
      <w:marRight w:val="0"/>
      <w:marTop w:val="0"/>
      <w:marBottom w:val="0"/>
      <w:divBdr>
        <w:top w:val="none" w:sz="0" w:space="0" w:color="auto"/>
        <w:left w:val="none" w:sz="0" w:space="0" w:color="auto"/>
        <w:bottom w:val="none" w:sz="0" w:space="0" w:color="auto"/>
        <w:right w:val="none" w:sz="0" w:space="0" w:color="auto"/>
      </w:divBdr>
    </w:div>
    <w:div w:id="1716074922">
      <w:bodyDiv w:val="1"/>
      <w:marLeft w:val="0"/>
      <w:marRight w:val="0"/>
      <w:marTop w:val="0"/>
      <w:marBottom w:val="0"/>
      <w:divBdr>
        <w:top w:val="none" w:sz="0" w:space="0" w:color="auto"/>
        <w:left w:val="none" w:sz="0" w:space="0" w:color="auto"/>
        <w:bottom w:val="none" w:sz="0" w:space="0" w:color="auto"/>
        <w:right w:val="none" w:sz="0" w:space="0" w:color="auto"/>
      </w:divBdr>
    </w:div>
    <w:div w:id="1834369005">
      <w:bodyDiv w:val="1"/>
      <w:marLeft w:val="0"/>
      <w:marRight w:val="0"/>
      <w:marTop w:val="0"/>
      <w:marBottom w:val="0"/>
      <w:divBdr>
        <w:top w:val="none" w:sz="0" w:space="0" w:color="auto"/>
        <w:left w:val="none" w:sz="0" w:space="0" w:color="auto"/>
        <w:bottom w:val="none" w:sz="0" w:space="0" w:color="auto"/>
        <w:right w:val="none" w:sz="0" w:space="0" w:color="auto"/>
      </w:divBdr>
    </w:div>
    <w:div w:id="1857650432">
      <w:bodyDiv w:val="1"/>
      <w:marLeft w:val="0"/>
      <w:marRight w:val="0"/>
      <w:marTop w:val="0"/>
      <w:marBottom w:val="0"/>
      <w:divBdr>
        <w:top w:val="none" w:sz="0" w:space="0" w:color="auto"/>
        <w:left w:val="none" w:sz="0" w:space="0" w:color="auto"/>
        <w:bottom w:val="none" w:sz="0" w:space="0" w:color="auto"/>
        <w:right w:val="none" w:sz="0" w:space="0" w:color="auto"/>
      </w:divBdr>
    </w:div>
    <w:div w:id="1895197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https://doi.org/10.1016/j.nurpra.2020.09.013"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doi.org/10.1177/1357633X241226741" TargetMode="External"/><Relationship Id="rId2" Type="http://schemas.openxmlformats.org/officeDocument/2006/relationships/customXml" Target="../customXml/item2.xml"/><Relationship Id="rId16" Type="http://schemas.openxmlformats.org/officeDocument/2006/relationships/hyperlink" Target="https://doi.org/10.1089/tmj.2023.0536" TargetMode="External"/><Relationship Id="rId20" Type="http://schemas.openxmlformats.org/officeDocument/2006/relationships/hyperlink" Target="https://doi.org/10.1177/1357633X221113711"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scholarworks.lib.csusb.edu/etd/2234"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False</openByDefault>
  <xsnScope>/sites/cdd/editing/Shared Documents</xsnScope>
</customXsn>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eadbeef6c264ca286694998fb5582db xmlns="458f3126-62e3-4757-938f-c105dc721ec7">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eadbeef6c264ca286694998fb5582db>
    <deadbeef14b34711a028ec5ab2e777db xmlns="458f3126-62e3-4757-938f-c105dc721ec7">
      <Terms xmlns="http://schemas.microsoft.com/office/infopath/2007/PartnerControls"/>
    </deadbeef14b34711a028ec5ab2e777db>
    <DocumentComments xmlns="http://schemas.microsoft.com/sharepoint/v3" xsi:nil="true"/>
    <TaxKeywordTaxHTField xmlns="458f3126-62e3-4757-938f-c105dc721ec7">
      <Terms xmlns="http://schemas.microsoft.com/office/infopath/2007/PartnerControls"/>
    </TaxKeywordTaxHTField>
    <deadbeefdf574942869e88db097302a9 xmlns="458f3126-62e3-4757-938f-c105dc721ec7">
      <Terms xmlns="http://schemas.microsoft.com/office/infopath/2007/PartnerControls"/>
    </deadbeefdf574942869e88db097302a9>
    <deadbeeff57a49aa8e8040b7474d5a66 xmlns="458f3126-62e3-4757-938f-c105dc721ec7">
      <Terms xmlns="http://schemas.microsoft.com/office/infopath/2007/PartnerControls"/>
    </deadbeeff57a49aa8e8040b7474d5a66>
    <TaxCatchAll xmlns="458f3126-62e3-4757-938f-c105dc721ec7">
      <Value>3</Value>
      <Value>2</Value>
      <Value>42</Value>
    </TaxCatchAll>
    <deadbeef9601426a9322ac73799625f1 xmlns="458f3126-62e3-4757-938f-c105dc721ec7">
      <Terms xmlns="http://schemas.microsoft.com/office/infopath/2007/PartnerControls"/>
    </deadbeef9601426a9322ac73799625f1>
    <deadbeef156343e8a472f8beecdc2f9a xmlns="458f3126-62e3-4757-938f-c105dc721ec7">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eadbeef156343e8a472f8beecdc2f9a>
    <deadbeefdd47407583f47a25a42617f9 xmlns="458f3126-62e3-4757-938f-c105dc721ec7">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deadbeefdd47407583f47a25a42617f9>
  </documentManagement>
</p:properties>
</file>

<file path=customXml/item5.xml><?xml version="1.0" encoding="utf-8"?>
<?mso-contentType ?>
<spe:Receivers xmlns:spe="http://schemas.microsoft.com/sharepoint/events"/>
</file>

<file path=customXml/item6.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7596C085266C08468B7E3724CEC138A3" ma:contentTypeVersion="14" ma:contentTypeDescription="Create a new document." ma:contentTypeScope="" ma:versionID="3173248768c23e75f870acfc09cb1ddf">
  <xsd:schema xmlns:xsd="http://www.w3.org/2001/XMLSchema" xmlns:xs="http://www.w3.org/2001/XMLSchema" xmlns:p="http://schemas.microsoft.com/office/2006/metadata/properties" xmlns:ns1="http://schemas.microsoft.com/sharepoint/v3" xmlns:ns2="458f3126-62e3-4757-938f-c105dc721ec7" xmlns:ns3="0786fbbe-922f-430a-93e5-eec71e297dba" targetNamespace="http://schemas.microsoft.com/office/2006/metadata/properties" ma:root="true" ma:fieldsID="02c874db7be3b1491054821abf4c0f69" ns1:_="" ns2:_="" ns3:_="">
    <xsd:import namespace="http://schemas.microsoft.com/sharepoint/v3"/>
    <xsd:import namespace="458f3126-62e3-4757-938f-c105dc721ec7"/>
    <xsd:import namespace="0786fbbe-922f-430a-93e5-eec71e297dba"/>
    <xsd:element name="properties">
      <xsd:complexType>
        <xsd:sequence>
          <xsd:element name="documentManagement">
            <xsd:complexType>
              <xsd:all>
                <xsd:element ref="ns1:DocumentComments" minOccurs="0"/>
                <xsd:element ref="ns2:deadbeef9601426a9322ac73799625f1" minOccurs="0"/>
                <xsd:element ref="ns2:deadbeeff57a49aa8e8040b7474d5a66" minOccurs="0"/>
                <xsd:element ref="ns2:deadbeef6c264ca286694998fb5582db" minOccurs="0"/>
                <xsd:element ref="ns2:TaxCatchAll" minOccurs="0"/>
                <xsd:element ref="ns2:deadbeefdd47407583f47a25a42617f9" minOccurs="0"/>
                <xsd:element ref="ns2:deadbeefdf574942869e88db097302a9" minOccurs="0"/>
                <xsd:element ref="ns2:deadbeef156343e8a472f8beecdc2f9a" minOccurs="0"/>
                <xsd:element ref="ns2:TaxCatchAllLabel" minOccurs="0"/>
                <xsd:element ref="ns2:deadbeef14b34711a028ec5ab2e777db" minOccurs="0"/>
                <xsd:element ref="ns2:TaxKeywordTaxHTField"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8f3126-62e3-4757-938f-c105dc721ec7" elementFormDefault="qualified">
    <xsd:import namespace="http://schemas.microsoft.com/office/2006/documentManagement/types"/>
    <xsd:import namespace="http://schemas.microsoft.com/office/infopath/2007/PartnerControls"/>
    <xsd:element name="deadbeef9601426a9322ac73799625f1" ma:index="11" nillable="true" ma:taxonomy="true" ma:internalName="deadbeef9601426a9322ac73799625f1" ma:taxonomyFieldName="DocumentType" ma:displayName="Document Type" ma:default="" ma:fieldId="{deadbeef-9601-426a-9322-ac73799625f1}" ma:sspId="6f79346d-4f46-4bf1-b4df-486c6d391f37" ma:termSetId="56472838-225c-4fb3-b14d-139d47897cc6" ma:anchorId="00000000-0000-0000-0000-000000000000" ma:open="true" ma:isKeyword="false">
      <xsd:complexType>
        <xsd:sequence>
          <xsd:element ref="pc:Terms" minOccurs="0" maxOccurs="1"/>
        </xsd:sequence>
      </xsd:complexType>
    </xsd:element>
    <xsd:element name="deadbeeff57a49aa8e8040b7474d5a66" ma:index="12" nillable="true" ma:taxonomy="true" ma:internalName="deadbeeff57a49aa8e8040b7474d5a66" ma:taxonomyFieldName="DocumentSubject" ma:displayName="Subject" ma:default="" ma:fieldId="{deadbeef-f57a-49aa-8e80-40b7474d5a66}" ma:sspId="6f79346d-4f46-4bf1-b4df-486c6d391f37" ma:termSetId="122e6309-b4e4-4602-9fcd-00090a755f6d" ma:anchorId="00000000-0000-0000-0000-000000000000" ma:open="true" ma:isKeyword="false">
      <xsd:complexType>
        <xsd:sequence>
          <xsd:element ref="pc:Terms" minOccurs="0" maxOccurs="1"/>
        </xsd:sequence>
      </xsd:complexType>
    </xsd:element>
    <xsd:element name="deadbeef6c264ca286694998fb5582db" ma:index="13" nillable="true" ma:taxonomy="true" ma:internalName="deadbeef6c264ca286694998fb5582db" ma:taxonomyFieldName="DocumentDepartment" ma:displayName="Department" ma:readOnly="false" ma:default="42;#Academic Program and Course Development|59abafec-cbf5-4238-a796-a3b74278f4db" ma:fieldId="{deadbeef-6c26-4ca2-8669-4998fb5582db}" ma:sspId="6f79346d-4f46-4bf1-b4df-486c6d391f37" ma:termSetId="1601148f-bc18-4e12-8568-fe1a2a042608"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d234eaad-0c4d-43a7-995d-734d25e48599}" ma:internalName="TaxCatchAll" ma:showField="CatchAllData" ma:web="458f3126-62e3-4757-938f-c105dc721ec7">
      <xsd:complexType>
        <xsd:complexContent>
          <xsd:extension base="dms:MultiChoiceLookup">
            <xsd:sequence>
              <xsd:element name="Value" type="dms:Lookup" maxOccurs="unbounded" minOccurs="0" nillable="true"/>
            </xsd:sequence>
          </xsd:extension>
        </xsd:complexContent>
      </xsd:complexType>
    </xsd:element>
    <xsd:element name="deadbeefdd47407583f47a25a42617f9" ma:index="15" nillable="true" ma:taxonomy="true" ma:internalName="deadbeefdd47407583f47a25a42617f9" ma:taxonomyFieldName="SecurityClassification" ma:displayName="Classification" ma:readOnly="false" ma:default="2;#Internal|98311b30-b9e9-4d4f-9f64-0688c0d4a234" ma:fieldId="{deadbeef-dd47-4075-83f4-7a25a42617f9}" ma:sspId="6f79346d-4f46-4bf1-b4df-486c6d391f37" ma:termSetId="b4b0d153-30b9-455a-9458-c3a4d77c91e8" ma:anchorId="00000000-0000-0000-0000-000000000000" ma:open="false" ma:isKeyword="false">
      <xsd:complexType>
        <xsd:sequence>
          <xsd:element ref="pc:Terms" minOccurs="0" maxOccurs="1"/>
        </xsd:sequence>
      </xsd:complexType>
    </xsd:element>
    <xsd:element name="deadbeefdf574942869e88db097302a9" ma:index="16" nillable="true" ma:taxonomy="true" ma:internalName="deadbeefdf574942869e88db097302a9" ma:taxonomyFieldName="DocumentCategory" ma:displayName="Category" ma:default="" ma:fieldId="{deadbeef-df57-4942-869e-88db097302a9}" ma:sspId="6f79346d-4f46-4bf1-b4df-486c6d391f37" ma:termSetId="52f69233-5cf0-4c4a-8a06-7adcfff7b0d8" ma:anchorId="00000000-0000-0000-0000-000000000000" ma:open="true" ma:isKeyword="false">
      <xsd:complexType>
        <xsd:sequence>
          <xsd:element ref="pc:Terms" minOccurs="0" maxOccurs="1"/>
        </xsd:sequence>
      </xsd:complexType>
    </xsd:element>
    <xsd:element name="deadbeef156343e8a472f8beecdc2f9a" ma:index="17" nillable="true" ma:taxonomy="true" ma:internalName="deadbeef156343e8a472f8beecdc2f9a" ma:taxonomyFieldName="DocumentBusinessValue" ma:displayName="Business Value" ma:readOnly="false" ma:default="3;#Normal|581d4866-74cc-43f1-bef1-bb304cbfeaa5" ma:fieldId="{deadbeef-1563-43e8-a472-f8beecdc2f9a}" ma:sspId="6f79346d-4f46-4bf1-b4df-486c6d391f37" ma:termSetId="de6416be-ddc0-435d-937d-8647ab739be1"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d234eaad-0c4d-43a7-995d-734d25e48599}" ma:internalName="TaxCatchAllLabel" ma:readOnly="true" ma:showField="CatchAllDataLabel" ma:web="458f3126-62e3-4757-938f-c105dc721ec7">
      <xsd:complexType>
        <xsd:complexContent>
          <xsd:extension base="dms:MultiChoiceLookup">
            <xsd:sequence>
              <xsd:element name="Value" type="dms:Lookup" maxOccurs="unbounded" minOccurs="0" nillable="true"/>
            </xsd:sequence>
          </xsd:extension>
        </xsd:complexContent>
      </xsd:complexType>
    </xsd:element>
    <xsd:element name="deadbeef14b34711a028ec5ab2e777db" ma:index="19" nillable="true" ma:taxonomy="true" ma:internalName="deadbeef14b34711a028ec5ab2e777db" ma:taxonomyFieldName="DocumentStatus" ma:displayName="Status" ma:default="" ma:fieldId="{deadbeef-14b3-4711-a028-ec5ab2e777db}" ma:sspId="6f79346d-4f46-4bf1-b4df-486c6d391f37" ma:termSetId="89f586f0-dd11-45fd-b561-c10d067e4b4b" ma:anchorId="00000000-0000-0000-0000-000000000000" ma:open="true" ma:isKeyword="false">
      <xsd:complexType>
        <xsd:sequence>
          <xsd:element ref="pc:Terms" minOccurs="0" maxOccurs="1"/>
        </xsd:sequence>
      </xsd:complexType>
    </xsd:element>
    <xsd:element name="TaxKeywordTaxHTField" ma:index="20" nillable="true" ma:taxonomy="true" ma:internalName="TaxKeywordTaxHTField" ma:taxonomyFieldName="TaxKeyword" ma:displayName="Enterprise Keywords" ma:fieldId="{23f27201-bee3-471e-b2e7-b64fd8b7ca38}" ma:taxonomyMulti="true" ma:sspId="6f79346d-4f46-4bf1-b4df-486c6d391f37"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786fbbe-922f-430a-93e5-eec71e297dba"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962880-309F-434F-839A-1AEFF69A2FB4}">
  <ds:schemaRefs>
    <ds:schemaRef ds:uri="http://schemas.microsoft.com/office/2006/metadata/customXsn"/>
  </ds:schemaRefs>
</ds:datastoreItem>
</file>

<file path=customXml/itemProps2.xml><?xml version="1.0" encoding="utf-8"?>
<ds:datastoreItem xmlns:ds="http://schemas.openxmlformats.org/officeDocument/2006/customXml" ds:itemID="{52B0F4B4-902C-45E9-A479-33557ECD42D2}">
  <ds:schemaRefs>
    <ds:schemaRef ds:uri="http://schemas.openxmlformats.org/officeDocument/2006/bibliography"/>
  </ds:schemaRefs>
</ds:datastoreItem>
</file>

<file path=customXml/itemProps3.xml><?xml version="1.0" encoding="utf-8"?>
<ds:datastoreItem xmlns:ds="http://schemas.openxmlformats.org/officeDocument/2006/customXml" ds:itemID="{B5798299-2C03-45E5-84E1-42E7500E10E2}">
  <ds:schemaRefs>
    <ds:schemaRef ds:uri="http://schemas.microsoft.com/sharepoint/v3/contenttype/forms"/>
  </ds:schemaRefs>
</ds:datastoreItem>
</file>

<file path=customXml/itemProps4.xml><?xml version="1.0" encoding="utf-8"?>
<ds:datastoreItem xmlns:ds="http://schemas.openxmlformats.org/officeDocument/2006/customXml" ds:itemID="{86473A9B-E84B-4EC3-90F0-AC7E53BD5F7E}">
  <ds:schemaRefs>
    <ds:schemaRef ds:uri="http://schemas.microsoft.com/office/2006/metadata/properties"/>
    <ds:schemaRef ds:uri="http://schemas.microsoft.com/office/infopath/2007/PartnerControls"/>
    <ds:schemaRef ds:uri="458f3126-62e3-4757-938f-c105dc721ec7"/>
    <ds:schemaRef ds:uri="http://schemas.microsoft.com/sharepoint/v3"/>
  </ds:schemaRefs>
</ds:datastoreItem>
</file>

<file path=customXml/itemProps5.xml><?xml version="1.0" encoding="utf-8"?>
<ds:datastoreItem xmlns:ds="http://schemas.openxmlformats.org/officeDocument/2006/customXml" ds:itemID="{F7DDE5D3-3AB3-4F32-9F59-98AB338D82B5}">
  <ds:schemaRefs>
    <ds:schemaRef ds:uri="http://schemas.microsoft.com/sharepoint/events"/>
  </ds:schemaRefs>
</ds:datastoreItem>
</file>

<file path=customXml/itemProps6.xml><?xml version="1.0" encoding="utf-8"?>
<ds:datastoreItem xmlns:ds="http://schemas.openxmlformats.org/officeDocument/2006/customXml" ds:itemID="{D9051B41-B23F-48C1-84FB-39A77002E7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8f3126-62e3-4757-938f-c105dc721ec7"/>
    <ds:schemaRef ds:uri="0786fbbe-922f-430a-93e5-eec71e297d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24fb089-d136-45da-a850-5008132529c7}" enabled="1" method="Standard" siteId="{ba1c9769-7c4c-43dc-9a41-74d11933d484}" removed="0"/>
</clbl:labelList>
</file>

<file path=docProps/app.xml><?xml version="1.0" encoding="utf-8"?>
<Properties xmlns="http://schemas.openxmlformats.org/officeDocument/2006/extended-properties" xmlns:vt="http://schemas.openxmlformats.org/officeDocument/2006/docPropsVTypes">
  <Template>Normal</Template>
  <TotalTime>74</TotalTime>
  <Pages>8</Pages>
  <Words>1549</Words>
  <Characters>8833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APA TYPING TEMPLATE without Abstract</vt:lpstr>
    </vt:vector>
  </TitlesOfParts>
  <Company>Grand Canyon University</Company>
  <LinksUpToDate>false</LinksUpToDate>
  <CharactersWithSpaces>10362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APA TYPING TEMPLATE without Abstract</dc:title>
  <dc:subject/>
  <dc:creator>Bekah Lee</dc:creator>
  <cp:keywords/>
  <cp:lastModifiedBy>Bekah Lee</cp:lastModifiedBy>
  <cp:revision>4</cp:revision>
  <dcterms:created xsi:type="dcterms:W3CDTF">2025-07-29T01:41:00Z</dcterms:created>
  <dcterms:modified xsi:type="dcterms:W3CDTF">2025-07-29T03:10:00Z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0x010100A30BC5E90BED914E81F4B67CDEADBEEF007596C085266C08468B7E3724CEC138A3</vt:lpwstr>
  </property>
  <property fmtid="{D5CDD505-2E9C-101B-9397-08002B2CF9AE}" pid="3" name="TaxKeyword">
    <vt:lpwstr/>
  </property>
  <property fmtid="{D5CDD505-2E9C-101B-9397-08002B2CF9AE}" pid="4" name="DocumentDepartment">
    <vt:lpwstr>42;#Academic Program and Course Development|59abafec-cbf5-4238-a796-a3b74278f4db</vt:lpwstr>
  </property>
  <property fmtid="{D5CDD505-2E9C-101B-9397-08002B2CF9AE}" pid="5" name="DocumentType">
    <vt:lpwstr/>
  </property>
  <property fmtid="{D5CDD505-2E9C-101B-9397-08002B2CF9AE}" pid="6" name="DocumentStatus">
    <vt:lpwstr/>
  </property>
  <property fmtid="{D5CDD505-2E9C-101B-9397-08002B2CF9AE}" pid="7" name="DocumentCategory">
    <vt:lpwstr/>
  </property>
  <property fmtid="{D5CDD505-2E9C-101B-9397-08002B2CF9AE}" pid="8" name="SecurityClassification">
    <vt:lpwstr>2;#Internal|98311b30-b9e9-4d4f-9f64-0688c0d4a234</vt:lpwstr>
  </property>
  <property fmtid="{D5CDD505-2E9C-101B-9397-08002B2CF9AE}" pid="9" name="DocumentSubject">
    <vt:lpwstr/>
  </property>
  <property fmtid="{D5CDD505-2E9C-101B-9397-08002B2CF9AE}" pid="10" name="DocumentBusinessValue">
    <vt:lpwstr>3;#Normal|581d4866-74cc-43f1-bef1-bb304cbfeaa5</vt:lpwstr>
  </property>
</Properties>
</file>